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38" w:rsidRPr="00640138" w:rsidRDefault="00640138" w:rsidP="00640138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18"/>
          <w:szCs w:val="18"/>
          <w:lang w:val="en-US"/>
        </w:rPr>
      </w:pPr>
      <w:proofErr w:type="gram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DECIZIA  nr</w:t>
      </w:r>
      <w:proofErr w:type="gram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. 7/22</w:t>
      </w:r>
    </w:p>
    <w:p w:rsidR="00640138" w:rsidRPr="00640138" w:rsidRDefault="00640138" w:rsidP="00640138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din</w:t>
      </w:r>
      <w:proofErr w:type="gram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  12</w:t>
      </w:r>
      <w:proofErr w:type="gram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septembrie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2017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Cu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privire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la</w:t>
      </w:r>
      <w:proofErr w:type="gram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 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aprobarea</w:t>
      </w:r>
      <w:proofErr w:type="spellEnd"/>
      <w:proofErr w:type="gram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Regulamentului</w:t>
      </w:r>
      <w:proofErr w:type="spellEnd"/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Concursului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pentru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cel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mai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bun </w:t>
      </w:r>
      <w:proofErr w:type="spellStart"/>
      <w:proofErr w:type="gram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vin</w:t>
      </w:r>
      <w:proofErr w:type="spellEnd"/>
      <w:proofErr w:type="gram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casă</w:t>
      </w:r>
      <w:proofErr w:type="spellEnd"/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,</w:t>
      </w:r>
      <w:proofErr w:type="gram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,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Polobocul</w:t>
      </w:r>
      <w:proofErr w:type="spellEnd"/>
      <w:proofErr w:type="gram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aur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2017,,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proofErr w:type="gram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temeiul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art.</w:t>
      </w:r>
      <w:proofErr w:type="gram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3, 5 (1), 7, 10, 14 (1)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lit.m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), (2), 19 (3), 20 (5)   din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Legea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privind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administraţia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publică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locală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nr. 436 – XVI din 28.12.2006,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Consiliul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orăşenesc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Căuşeni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, </w:t>
      </w:r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DECIDE</w:t>
      </w: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: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640138" w:rsidRPr="00640138" w:rsidRDefault="00640138" w:rsidP="00640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Se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aprobă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Regulamentul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Concursului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pentru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cel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mai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bun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vin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casă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  </w:t>
      </w:r>
      <w:proofErr w:type="gram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,,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Polobocul</w:t>
      </w:r>
      <w:proofErr w:type="spellEnd"/>
      <w:proofErr w:type="gram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aur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2017,, , conform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anexelor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nr.1 parte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integrată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a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prezentei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Decizii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.</w:t>
      </w:r>
    </w:p>
    <w:p w:rsidR="00640138" w:rsidRPr="00640138" w:rsidRDefault="00640138" w:rsidP="00640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Primarul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or.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va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asigura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îndeplinirea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regulamentului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privind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desfășurarea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concursului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pentru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cel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mai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bun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vin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casă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  </w:t>
      </w:r>
      <w:proofErr w:type="gram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,,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Polobocul</w:t>
      </w:r>
      <w:proofErr w:type="spellEnd"/>
      <w:proofErr w:type="gram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aur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2017,,.</w:t>
      </w:r>
    </w:p>
    <w:p w:rsidR="00640138" w:rsidRDefault="00640138" w:rsidP="00640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Fonts w:ascii="Tahoma" w:hAnsi="Tahoma" w:cs="Tahoma"/>
          <w:color w:val="333333"/>
          <w:sz w:val="18"/>
          <w:szCs w:val="18"/>
        </w:rPr>
        <w:t>Prezenta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Decizie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comunică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:</w:t>
      </w:r>
    </w:p>
    <w:p w:rsid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-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Primarului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or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. Căușeni;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     -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Specialistuluiprimăriei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or.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Tatiana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Flocea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;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     -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Oficiului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Teritorial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Căuşeni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al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Cancelariei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Stat a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Republicii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Moldova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și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se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aduce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la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cunoştinţă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publică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prin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intermediul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afişării</w:t>
      </w:r>
      <w:proofErr w:type="spellEnd"/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                PREŞEDINTELE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                     ŞEDINŢEI:                                                                                       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                 Aurelia </w:t>
      </w:r>
      <w:proofErr w:type="spellStart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Repeșciuc</w:t>
      </w:r>
      <w:proofErr w:type="spellEnd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 </w:t>
      </w: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                    </w:t>
      </w:r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     </w:t>
      </w: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CONTRASEMNEAZĂ: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                                                       SECRETARUL CONSILIULUI</w:t>
      </w:r>
      <w:proofErr w:type="gram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  ORĂŞENESC</w:t>
      </w:r>
      <w:proofErr w:type="gram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           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                                               Ala </w:t>
      </w:r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Cucoş-Chiseliţa</w:t>
      </w: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                       </w:t>
      </w:r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                              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640138" w:rsidRDefault="00640138" w:rsidP="00640138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125782"/>
          <w:sz w:val="27"/>
          <w:szCs w:val="27"/>
          <w:lang w:val="en-US"/>
        </w:rPr>
      </w:pPr>
    </w:p>
    <w:p w:rsidR="00640138" w:rsidRDefault="00640138" w:rsidP="00640138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125782"/>
          <w:sz w:val="27"/>
          <w:szCs w:val="27"/>
          <w:lang w:val="en-US"/>
        </w:rPr>
      </w:pPr>
    </w:p>
    <w:p w:rsidR="00640138" w:rsidRDefault="00640138" w:rsidP="00640138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125782"/>
          <w:sz w:val="27"/>
          <w:szCs w:val="27"/>
          <w:lang w:val="en-US"/>
        </w:rPr>
      </w:pPr>
    </w:p>
    <w:p w:rsidR="00640138" w:rsidRDefault="00640138" w:rsidP="00640138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125782"/>
          <w:sz w:val="27"/>
          <w:szCs w:val="27"/>
          <w:lang w:val="en-US"/>
        </w:rPr>
      </w:pPr>
    </w:p>
    <w:p w:rsidR="00640138" w:rsidRDefault="00640138" w:rsidP="00640138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125782"/>
          <w:sz w:val="27"/>
          <w:szCs w:val="27"/>
          <w:lang w:val="en-US"/>
        </w:rPr>
      </w:pPr>
    </w:p>
    <w:p w:rsidR="00640138" w:rsidRPr="00640138" w:rsidRDefault="00640138" w:rsidP="00640138">
      <w:pPr>
        <w:pStyle w:val="2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  <w:color w:val="125782"/>
          <w:sz w:val="30"/>
          <w:szCs w:val="30"/>
          <w:lang w:val="en-US"/>
        </w:rPr>
      </w:pPr>
      <w:proofErr w:type="spellStart"/>
      <w:r w:rsidRPr="00640138">
        <w:rPr>
          <w:b w:val="0"/>
          <w:bCs w:val="0"/>
          <w:color w:val="125782"/>
          <w:sz w:val="27"/>
          <w:szCs w:val="27"/>
          <w:lang w:val="en-US"/>
        </w:rPr>
        <w:lastRenderedPageBreak/>
        <w:t>Anexa</w:t>
      </w:r>
      <w:proofErr w:type="spellEnd"/>
      <w:r w:rsidRPr="00640138">
        <w:rPr>
          <w:b w:val="0"/>
          <w:bCs w:val="0"/>
          <w:color w:val="125782"/>
          <w:sz w:val="27"/>
          <w:szCs w:val="27"/>
          <w:lang w:val="en-US"/>
        </w:rPr>
        <w:t xml:space="preserve"> 1</w:t>
      </w:r>
    </w:p>
    <w:p w:rsidR="00640138" w:rsidRPr="00640138" w:rsidRDefault="00640138" w:rsidP="00640138">
      <w:pPr>
        <w:pStyle w:val="1"/>
        <w:shd w:val="clear" w:color="auto" w:fill="FFFFFF"/>
        <w:spacing w:before="0"/>
        <w:rPr>
          <w:rFonts w:ascii="Tahoma" w:hAnsi="Tahoma" w:cs="Tahoma"/>
          <w:b w:val="0"/>
          <w:bCs w:val="0"/>
          <w:color w:val="125782"/>
          <w:sz w:val="48"/>
          <w:szCs w:val="48"/>
          <w:lang w:val="en-US"/>
        </w:rPr>
      </w:pPr>
      <w:proofErr w:type="gramStart"/>
      <w:r w:rsidRPr="00640138">
        <w:rPr>
          <w:b w:val="0"/>
          <w:bCs w:val="0"/>
          <w:color w:val="125782"/>
          <w:sz w:val="27"/>
          <w:szCs w:val="27"/>
          <w:lang w:val="en-US"/>
        </w:rPr>
        <w:t>la</w:t>
      </w:r>
      <w:proofErr w:type="gramEnd"/>
      <w:r w:rsidRPr="00640138">
        <w:rPr>
          <w:b w:val="0"/>
          <w:bCs w:val="0"/>
          <w:color w:val="125782"/>
          <w:sz w:val="27"/>
          <w:szCs w:val="27"/>
          <w:lang w:val="en-US"/>
        </w:rPr>
        <w:t xml:space="preserve"> </w:t>
      </w:r>
      <w:proofErr w:type="spellStart"/>
      <w:r w:rsidRPr="00640138">
        <w:rPr>
          <w:b w:val="0"/>
          <w:bCs w:val="0"/>
          <w:color w:val="125782"/>
          <w:sz w:val="27"/>
          <w:szCs w:val="27"/>
          <w:lang w:val="en-US"/>
        </w:rPr>
        <w:t>Decizia</w:t>
      </w:r>
      <w:proofErr w:type="spellEnd"/>
      <w:r w:rsidRPr="00640138">
        <w:rPr>
          <w:b w:val="0"/>
          <w:bCs w:val="0"/>
          <w:color w:val="125782"/>
          <w:sz w:val="27"/>
          <w:szCs w:val="27"/>
          <w:lang w:val="en-US"/>
        </w:rPr>
        <w:t xml:space="preserve"> nr. 7/22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a</w:t>
      </w:r>
      <w:proofErr w:type="gram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 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Consiliul</w:t>
      </w:r>
      <w:proofErr w:type="spellEnd"/>
      <w:proofErr w:type="gram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orășenesc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 </w:t>
      </w:r>
      <w:proofErr w:type="gram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din</w:t>
      </w:r>
      <w:proofErr w:type="gram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12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septembrie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  2017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640138" w:rsidRPr="00640138" w:rsidRDefault="00640138" w:rsidP="00640138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REGULAMENTUL</w:t>
      </w:r>
    </w:p>
    <w:p w:rsidR="00640138" w:rsidRPr="00640138" w:rsidRDefault="00640138" w:rsidP="00640138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 </w:t>
      </w:r>
      <w:proofErr w:type="spellStart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Concursului</w:t>
      </w:r>
      <w:proofErr w:type="spellEnd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pentru</w:t>
      </w:r>
      <w:proofErr w:type="spellEnd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cel</w:t>
      </w:r>
      <w:proofErr w:type="spellEnd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mai</w:t>
      </w:r>
      <w:proofErr w:type="spellEnd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 xml:space="preserve"> bun </w:t>
      </w:r>
      <w:proofErr w:type="spellStart"/>
      <w:proofErr w:type="gramStart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vin</w:t>
      </w:r>
      <w:proofErr w:type="spellEnd"/>
      <w:proofErr w:type="gramEnd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casă</w:t>
      </w:r>
      <w:proofErr w:type="spellEnd"/>
    </w:p>
    <w:p w:rsidR="00640138" w:rsidRPr="00640138" w:rsidRDefault="00640138" w:rsidP="00640138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 "</w:t>
      </w:r>
      <w:proofErr w:type="spellStart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Polobocul</w:t>
      </w:r>
      <w:proofErr w:type="spellEnd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aur</w:t>
      </w:r>
      <w:proofErr w:type="spellEnd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- 2017"</w:t>
      </w:r>
    </w:p>
    <w:p w:rsidR="00640138" w:rsidRPr="00640138" w:rsidRDefault="00640138" w:rsidP="00640138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Concursul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“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Polobocul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aur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” </w:t>
      </w:r>
      <w:proofErr w:type="spellStart"/>
      <w:proofErr w:type="gram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este</w:t>
      </w:r>
      <w:proofErr w:type="spellEnd"/>
      <w:proofErr w:type="gram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organizat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Consiliul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orășenesc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și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Primăria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or. </w:t>
      </w:r>
      <w:proofErr w:type="spellStart"/>
      <w:proofErr w:type="gram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.</w:t>
      </w:r>
      <w:proofErr w:type="gramEnd"/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Style w:val="a4"/>
          <w:rFonts w:ascii="Tahoma" w:hAnsi="Tahoma" w:cs="Tahoma"/>
          <w:color w:val="333333"/>
          <w:sz w:val="18"/>
          <w:szCs w:val="18"/>
          <w:u w:val="single"/>
          <w:lang w:val="en-US"/>
        </w:rPr>
        <w:t>1. SCOPUL ŞI SARCINILE CONCURSULUI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Concursul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se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organizează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cu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scopul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a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remarca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cei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mai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buni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producători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vin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casă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, de a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populariza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tradiţiile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naţionale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fabricare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a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vinurilor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moldoveneşti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condiţii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casnice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, de a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ridica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cultura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consum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şi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a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efectua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schimbul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informaţie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între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producătorii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vin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casă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.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Style w:val="a4"/>
          <w:rFonts w:ascii="Tahoma" w:hAnsi="Tahoma" w:cs="Tahoma"/>
          <w:color w:val="333333"/>
          <w:sz w:val="18"/>
          <w:szCs w:val="18"/>
          <w:u w:val="single"/>
          <w:lang w:val="en-US"/>
        </w:rPr>
        <w:t>2. COMITETUL ORGANIZATORIC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Lucrările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, </w:t>
      </w:r>
      <w:proofErr w:type="spellStart"/>
      <w:proofErr w:type="gram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ce</w:t>
      </w:r>
      <w:proofErr w:type="spellEnd"/>
      <w:proofErr w:type="gram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ţin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organizarea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,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desfăşurarea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şi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totalizarea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concursului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naţional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sunt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efectuate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către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comitetul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organizatoric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,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activitatea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căruia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se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reglementează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prezentul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Regulament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.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scopul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aprecierii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mostrelor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vin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casă</w:t>
      </w:r>
      <w:proofErr w:type="spellEnd"/>
      <w:proofErr w:type="gram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 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Comitetul</w:t>
      </w:r>
      <w:proofErr w:type="spellEnd"/>
      <w:proofErr w:type="gram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organizatoric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formează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un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grup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experţi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din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domeniul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vinificației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denumit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comisiei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degustare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.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Comitetul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organizatoric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și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juriul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degustare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este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alcătuit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din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specialişti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din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domeniul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vinificaţiei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,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oameni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afaceri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,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reprezentanţi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ai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Camerei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Comerţ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şi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Industrie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a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Republicii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gram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Moldova ,</w:t>
      </w:r>
      <w:proofErr w:type="gram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ai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altor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organizaţii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obşteşti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.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proofErr w:type="gram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Componenţa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nominală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a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Comitetului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organizatoric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se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aprobă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Biroul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executiv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al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Camerei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Comerţ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şi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Industrie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a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Republicii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Moldova.</w:t>
      </w:r>
      <w:proofErr w:type="gram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Informaţia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cu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privire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la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componenţa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comitetului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organizatoric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proofErr w:type="gram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este</w:t>
      </w:r>
      <w:proofErr w:type="spellEnd"/>
      <w:proofErr w:type="gram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publicată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pagina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WEB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Consiliul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orășenesc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şi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mass-media.</w:t>
      </w:r>
    </w:p>
    <w:p w:rsid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Funcţiile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comitetului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organizatoric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>:</w:t>
      </w:r>
    </w:p>
    <w:p w:rsidR="00640138" w:rsidRPr="00640138" w:rsidRDefault="00640138" w:rsidP="00640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familiarizează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participanţii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cu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condiţiile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participare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la concurs;</w:t>
      </w:r>
    </w:p>
    <w:p w:rsidR="00640138" w:rsidRPr="00640138" w:rsidRDefault="00640138" w:rsidP="00640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desemnează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componenţa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comisiei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degustare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 ;</w:t>
      </w:r>
    </w:p>
    <w:p w:rsidR="00640138" w:rsidRPr="00640138" w:rsidRDefault="00640138" w:rsidP="00640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colectează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mostre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la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participanţi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;</w:t>
      </w:r>
    </w:p>
    <w:p w:rsidR="00640138" w:rsidRDefault="00640138" w:rsidP="00640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Fonts w:ascii="Tahoma" w:hAnsi="Tahoma" w:cs="Tahoma"/>
          <w:color w:val="333333"/>
          <w:sz w:val="18"/>
          <w:szCs w:val="18"/>
        </w:rPr>
        <w:t>organizează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degustarea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;</w:t>
      </w:r>
    </w:p>
    <w:p w:rsidR="00640138" w:rsidRDefault="00640138" w:rsidP="00640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Fonts w:ascii="Tahoma" w:hAnsi="Tahoma" w:cs="Tahoma"/>
          <w:color w:val="333333"/>
          <w:sz w:val="18"/>
          <w:szCs w:val="18"/>
        </w:rPr>
        <w:t>determină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învingătorii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concursului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,</w:t>
      </w:r>
    </w:p>
    <w:p w:rsidR="00640138" w:rsidRPr="00640138" w:rsidRDefault="00640138" w:rsidP="00640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organizează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Festivalul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vinului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artizanal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,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tradiţiilor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gastronomice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şi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meşteşugurilor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populare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„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Polobocul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aur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”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Consiliul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orășenesc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creează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comitete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organizatorice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a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concursului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localităţile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din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raionul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,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care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activează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.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Activitatea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acestora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,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asemenea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, </w:t>
      </w:r>
      <w:proofErr w:type="spellStart"/>
      <w:proofErr w:type="gram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este</w:t>
      </w:r>
      <w:proofErr w:type="spellEnd"/>
      <w:proofErr w:type="gram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reglementată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prezentul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Regulament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.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Style w:val="a4"/>
          <w:rFonts w:ascii="Tahoma" w:hAnsi="Tahoma" w:cs="Tahoma"/>
          <w:color w:val="333333"/>
          <w:sz w:val="18"/>
          <w:szCs w:val="18"/>
          <w:u w:val="single"/>
          <w:lang w:val="en-US"/>
        </w:rPr>
        <w:t>3. PARTICIPANŢII LA CONCURS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r w:rsidRPr="00640138">
        <w:rPr>
          <w:rStyle w:val="a4"/>
          <w:rFonts w:ascii="Tahoma" w:hAnsi="Tahoma" w:cs="Tahoma"/>
          <w:color w:val="333333"/>
          <w:sz w:val="18"/>
          <w:szCs w:val="18"/>
          <w:u w:val="single"/>
          <w:lang w:val="en-US"/>
        </w:rPr>
        <w:t>Participanţi</w:t>
      </w:r>
      <w:proofErr w:type="spellEnd"/>
      <w:r w:rsidRPr="00640138">
        <w:rPr>
          <w:rStyle w:val="a4"/>
          <w:rFonts w:ascii="Tahoma" w:hAnsi="Tahoma" w:cs="Tahoma"/>
          <w:color w:val="333333"/>
          <w:sz w:val="18"/>
          <w:szCs w:val="18"/>
          <w:u w:val="single"/>
          <w:lang w:val="en-US"/>
        </w:rPr>
        <w:t xml:space="preserve"> la concurs</w:t>
      </w: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 pot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fi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persoane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fizice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din</w:t>
      </w:r>
      <w:proofErr w:type="gram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 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oră</w:t>
      </w:r>
      <w:proofErr w:type="gram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șul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care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produc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vin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casă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.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lastRenderedPageBreak/>
        <w:t>Participarea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la concurs </w:t>
      </w:r>
      <w:proofErr w:type="spellStart"/>
      <w:proofErr w:type="gram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este</w:t>
      </w:r>
      <w:proofErr w:type="spellEnd"/>
      <w:proofErr w:type="gram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benevolă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.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Style w:val="a4"/>
          <w:rFonts w:ascii="Tahoma" w:hAnsi="Tahoma" w:cs="Tahoma"/>
          <w:color w:val="333333"/>
          <w:sz w:val="18"/>
          <w:szCs w:val="18"/>
          <w:u w:val="single"/>
          <w:lang w:val="en-US"/>
        </w:rPr>
        <w:t> 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r w:rsidRPr="00640138">
        <w:rPr>
          <w:rStyle w:val="a4"/>
          <w:rFonts w:ascii="Tahoma" w:hAnsi="Tahoma" w:cs="Tahoma"/>
          <w:color w:val="333333"/>
          <w:sz w:val="18"/>
          <w:szCs w:val="18"/>
          <w:u w:val="single"/>
          <w:lang w:val="en-US"/>
        </w:rPr>
        <w:t>Probele</w:t>
      </w:r>
      <w:proofErr w:type="spellEnd"/>
      <w:r w:rsidRPr="00640138">
        <w:rPr>
          <w:rStyle w:val="a4"/>
          <w:rFonts w:ascii="Tahoma" w:hAnsi="Tahoma" w:cs="Tahoma"/>
          <w:color w:val="333333"/>
          <w:sz w:val="18"/>
          <w:szCs w:val="18"/>
          <w:u w:val="single"/>
          <w:lang w:val="en-US"/>
        </w:rPr>
        <w:t xml:space="preserve"> de </w:t>
      </w:r>
      <w:proofErr w:type="spellStart"/>
      <w:r w:rsidRPr="00640138">
        <w:rPr>
          <w:rStyle w:val="a4"/>
          <w:rFonts w:ascii="Tahoma" w:hAnsi="Tahoma" w:cs="Tahoma"/>
          <w:color w:val="333333"/>
          <w:sz w:val="18"/>
          <w:szCs w:val="18"/>
          <w:u w:val="single"/>
          <w:lang w:val="en-US"/>
        </w:rPr>
        <w:t>vin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 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prezentate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la concurs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trebuie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să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întrunească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următoarele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proofErr w:type="gram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condiţii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 :</w:t>
      </w:r>
      <w:proofErr w:type="gramEnd"/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- </w:t>
      </w:r>
      <w:proofErr w:type="spellStart"/>
      <w:proofErr w:type="gram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să</w:t>
      </w:r>
      <w:proofErr w:type="spellEnd"/>
      <w:proofErr w:type="gram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fie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seci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,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fără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adaos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alcool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şi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zahăr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(cu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excepția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vinurilor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desert) ;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- </w:t>
      </w:r>
      <w:proofErr w:type="spellStart"/>
      <w:proofErr w:type="gram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să</w:t>
      </w:r>
      <w:proofErr w:type="spellEnd"/>
      <w:proofErr w:type="gram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fie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limpezi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 ;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- </w:t>
      </w:r>
      <w:proofErr w:type="spellStart"/>
      <w:proofErr w:type="gram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să</w:t>
      </w:r>
      <w:proofErr w:type="spellEnd"/>
      <w:proofErr w:type="gram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nu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aibă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defecte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aromă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şi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gust ;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- </w:t>
      </w:r>
      <w:proofErr w:type="spellStart"/>
      <w:proofErr w:type="gram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să</w:t>
      </w:r>
      <w:proofErr w:type="spellEnd"/>
      <w:proofErr w:type="gram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nu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prezinte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degajări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CO</w:t>
      </w:r>
      <w:r w:rsidRPr="00640138">
        <w:rPr>
          <w:rFonts w:ascii="Tahoma" w:hAnsi="Tahoma" w:cs="Tahoma"/>
          <w:color w:val="333333"/>
          <w:sz w:val="18"/>
          <w:szCs w:val="18"/>
          <w:vertAlign w:val="subscript"/>
          <w:lang w:val="en-US"/>
        </w:rPr>
        <w:t>2</w:t>
      </w: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 ;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r w:rsidRPr="00640138">
        <w:rPr>
          <w:rStyle w:val="a4"/>
          <w:rFonts w:ascii="Tahoma" w:hAnsi="Tahoma" w:cs="Tahoma"/>
          <w:color w:val="333333"/>
          <w:sz w:val="18"/>
          <w:szCs w:val="18"/>
          <w:u w:val="single"/>
          <w:lang w:val="en-US"/>
        </w:rPr>
        <w:t>Prezentarea</w:t>
      </w:r>
      <w:proofErr w:type="spellEnd"/>
      <w:r w:rsidRPr="00640138">
        <w:rPr>
          <w:rStyle w:val="a4"/>
          <w:rFonts w:ascii="Tahoma" w:hAnsi="Tahoma" w:cs="Tahoma"/>
          <w:color w:val="333333"/>
          <w:sz w:val="18"/>
          <w:szCs w:val="18"/>
          <w:u w:val="single"/>
          <w:lang w:val="en-US"/>
        </w:rPr>
        <w:t xml:space="preserve"> </w:t>
      </w:r>
      <w:proofErr w:type="spellStart"/>
      <w:r w:rsidRPr="00640138">
        <w:rPr>
          <w:rStyle w:val="a4"/>
          <w:rFonts w:ascii="Tahoma" w:hAnsi="Tahoma" w:cs="Tahoma"/>
          <w:color w:val="333333"/>
          <w:sz w:val="18"/>
          <w:szCs w:val="18"/>
          <w:u w:val="single"/>
          <w:lang w:val="en-US"/>
        </w:rPr>
        <w:t>probelor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 se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realizează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sticle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curate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şi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etichetate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. Nu se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admite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prezentarea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probelor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recipiente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din plastic.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eticheta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se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indică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informația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despre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producător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și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proofErr w:type="gram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vin</w:t>
      </w:r>
      <w:proofErr w:type="spellEnd"/>
      <w:proofErr w:type="gram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conform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modelului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tipizat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. 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640138" w:rsidRDefault="00640138" w:rsidP="006401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4.     </w:t>
      </w:r>
      <w:r>
        <w:rPr>
          <w:rStyle w:val="a4"/>
          <w:rFonts w:ascii="Tahoma" w:hAnsi="Tahoma" w:cs="Tahoma"/>
          <w:color w:val="333333"/>
          <w:sz w:val="18"/>
          <w:szCs w:val="18"/>
          <w:u w:val="single"/>
        </w:rPr>
        <w:t>NOMINALIZĂRILE CONCURSULUI</w:t>
      </w:r>
    </w:p>
    <w:p w:rsid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  <w:u w:val="single"/>
        </w:rPr>
        <w:t> 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gramStart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1. Vin</w:t>
      </w:r>
      <w:proofErr w:type="gramEnd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tânăr</w:t>
      </w:r>
      <w:proofErr w:type="spellEnd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 xml:space="preserve"> din </w:t>
      </w:r>
      <w:proofErr w:type="spellStart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soiuri</w:t>
      </w:r>
      <w:proofErr w:type="spellEnd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tehnice</w:t>
      </w:r>
      <w:proofErr w:type="spellEnd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 xml:space="preserve"> din </w:t>
      </w:r>
      <w:proofErr w:type="spellStart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specia</w:t>
      </w:r>
      <w:proofErr w:type="spellEnd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 </w:t>
      </w:r>
      <w:proofErr w:type="spellStart"/>
      <w:r w:rsidRPr="00640138">
        <w:rPr>
          <w:rStyle w:val="a5"/>
          <w:rFonts w:ascii="Tahoma" w:eastAsiaTheme="majorEastAsia" w:hAnsi="Tahoma" w:cs="Tahoma"/>
          <w:b/>
          <w:bCs/>
          <w:color w:val="333333"/>
          <w:sz w:val="18"/>
          <w:szCs w:val="18"/>
          <w:lang w:val="en-US"/>
        </w:rPr>
        <w:t>Vitis</w:t>
      </w:r>
      <w:proofErr w:type="spellEnd"/>
      <w:r w:rsidRPr="00640138">
        <w:rPr>
          <w:rStyle w:val="a5"/>
          <w:rFonts w:ascii="Tahoma" w:eastAsiaTheme="majorEastAsia" w:hAnsi="Tahoma" w:cs="Tahoma"/>
          <w:b/>
          <w:bCs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Style w:val="a5"/>
          <w:rFonts w:ascii="Tahoma" w:eastAsiaTheme="majorEastAsia" w:hAnsi="Tahoma" w:cs="Tahoma"/>
          <w:b/>
          <w:bCs/>
          <w:color w:val="333333"/>
          <w:sz w:val="18"/>
          <w:szCs w:val="18"/>
          <w:lang w:val="en-US"/>
        </w:rPr>
        <w:t>vinifera</w:t>
      </w:r>
      <w:proofErr w:type="spellEnd"/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 a) </w:t>
      </w:r>
      <w:proofErr w:type="spellStart"/>
      <w:proofErr w:type="gram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cel</w:t>
      </w:r>
      <w:proofErr w:type="spellEnd"/>
      <w:proofErr w:type="gram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mai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bun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vin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alb </w:t>
      </w: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br/>
        <w:t xml:space="preserve">b)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cel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mai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bun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vin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roşu</w:t>
      </w:r>
      <w:proofErr w:type="spellEnd"/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c) </w:t>
      </w:r>
      <w:proofErr w:type="spellStart"/>
      <w:proofErr w:type="gram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cel</w:t>
      </w:r>
      <w:proofErr w:type="spellEnd"/>
      <w:proofErr w:type="gram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mai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bun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vin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rose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gramStart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2. Vin</w:t>
      </w:r>
      <w:proofErr w:type="gramEnd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tânăr</w:t>
      </w:r>
      <w:proofErr w:type="spellEnd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 xml:space="preserve"> din </w:t>
      </w:r>
      <w:proofErr w:type="spellStart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soiuri</w:t>
      </w:r>
      <w:proofErr w:type="spellEnd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hibride</w:t>
      </w:r>
      <w:proofErr w:type="spellEnd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 </w:t>
      </w:r>
      <w:proofErr w:type="spellStart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şi</w:t>
      </w:r>
      <w:proofErr w:type="spellEnd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 xml:space="preserve"> din </w:t>
      </w:r>
      <w:proofErr w:type="spellStart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specia</w:t>
      </w:r>
      <w:proofErr w:type="spellEnd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 </w:t>
      </w:r>
      <w:proofErr w:type="spellStart"/>
      <w:r w:rsidRPr="00640138">
        <w:rPr>
          <w:rStyle w:val="a5"/>
          <w:rFonts w:ascii="Tahoma" w:eastAsiaTheme="majorEastAsia" w:hAnsi="Tahoma" w:cs="Tahoma"/>
          <w:b/>
          <w:bCs/>
          <w:color w:val="333333"/>
          <w:sz w:val="18"/>
          <w:szCs w:val="18"/>
          <w:lang w:val="en-US"/>
        </w:rPr>
        <w:t>Vitis</w:t>
      </w:r>
      <w:proofErr w:type="spellEnd"/>
      <w:r w:rsidRPr="00640138">
        <w:rPr>
          <w:rStyle w:val="a5"/>
          <w:rFonts w:ascii="Tahoma" w:eastAsiaTheme="majorEastAsia" w:hAnsi="Tahoma" w:cs="Tahoma"/>
          <w:b/>
          <w:bCs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Style w:val="a5"/>
          <w:rFonts w:ascii="Tahoma" w:eastAsiaTheme="majorEastAsia" w:hAnsi="Tahoma" w:cs="Tahoma"/>
          <w:b/>
          <w:bCs/>
          <w:color w:val="333333"/>
          <w:sz w:val="18"/>
          <w:szCs w:val="18"/>
          <w:lang w:val="en-US"/>
        </w:rPr>
        <w:t>labrusca</w:t>
      </w:r>
      <w:proofErr w:type="spellEnd"/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a) </w:t>
      </w:r>
      <w:proofErr w:type="spellStart"/>
      <w:proofErr w:type="gram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cel</w:t>
      </w:r>
      <w:proofErr w:type="spellEnd"/>
      <w:proofErr w:type="gram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mai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bun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vin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alb </w:t>
      </w: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br/>
        <w:t xml:space="preserve">b)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cel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mai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bun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vin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roşu</w:t>
      </w:r>
      <w:proofErr w:type="spellEnd"/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 xml:space="preserve">3. Vin de </w:t>
      </w:r>
      <w:proofErr w:type="spellStart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casă</w:t>
      </w:r>
      <w:proofErr w:type="spellEnd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păstrate</w:t>
      </w:r>
      <w:proofErr w:type="spellEnd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mai</w:t>
      </w:r>
      <w:proofErr w:type="spellEnd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mult</w:t>
      </w:r>
      <w:proofErr w:type="spellEnd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gramStart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un</w:t>
      </w:r>
      <w:proofErr w:type="gramEnd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 xml:space="preserve"> an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a) </w:t>
      </w:r>
      <w:proofErr w:type="spellStart"/>
      <w:proofErr w:type="gram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cel</w:t>
      </w:r>
      <w:proofErr w:type="spellEnd"/>
      <w:proofErr w:type="gram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mai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bun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vin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alb </w:t>
      </w: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br/>
        <w:t xml:space="preserve">b)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cel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mai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bun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vin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roşu</w:t>
      </w:r>
      <w:proofErr w:type="spellEnd"/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4.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Vinuri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 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de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desert</w:t>
      </w:r>
      <w:proofErr w:type="spellEnd"/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a) </w:t>
      </w:r>
      <w:proofErr w:type="spellStart"/>
      <w:proofErr w:type="gram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cel</w:t>
      </w:r>
      <w:proofErr w:type="spellEnd"/>
      <w:proofErr w:type="gram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mai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bun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vin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alb </w:t>
      </w: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br/>
        <w:t xml:space="preserve">b)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cel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mai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bun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vin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roşu</w:t>
      </w:r>
      <w:proofErr w:type="spellEnd"/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gram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5. </w:t>
      </w:r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Vin</w:t>
      </w:r>
      <w:proofErr w:type="gramEnd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 xml:space="preserve"> din </w:t>
      </w:r>
      <w:proofErr w:type="spellStart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soiuri</w:t>
      </w:r>
      <w:proofErr w:type="spellEnd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autohtone</w:t>
      </w:r>
      <w:proofErr w:type="spellEnd"/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lastRenderedPageBreak/>
        <w:t xml:space="preserve">a) </w:t>
      </w:r>
      <w:proofErr w:type="spellStart"/>
      <w:proofErr w:type="gram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cel</w:t>
      </w:r>
      <w:proofErr w:type="spellEnd"/>
      <w:proofErr w:type="gram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mai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bun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vin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alb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b) </w:t>
      </w:r>
      <w:proofErr w:type="spellStart"/>
      <w:proofErr w:type="gram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cel</w:t>
      </w:r>
      <w:proofErr w:type="spellEnd"/>
      <w:proofErr w:type="gram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mai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bun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vin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roşu</w:t>
      </w:r>
      <w:proofErr w:type="spellEnd"/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  <w:u w:val="single"/>
        </w:rPr>
        <w:t>5. ETAPELE CONCURSULUI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Concursul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se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desfăşoară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două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etape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: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I-</w:t>
      </w:r>
      <w:proofErr w:type="gramStart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a</w:t>
      </w:r>
      <w:proofErr w:type="gramEnd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etapă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  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septembrie-octombrie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2017 -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determinarea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învingătorilor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concursului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localitățile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raionului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.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gramStart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a</w:t>
      </w:r>
      <w:proofErr w:type="gramEnd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 xml:space="preserve"> II-a </w:t>
      </w:r>
      <w:proofErr w:type="spellStart"/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etapă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  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martie-aprilie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2016 -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determinarea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învingătorilor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concursului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republican.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Acţiune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,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efectuată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comitetul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organizatoric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al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Consiliul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orășenesc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Style w:val="a4"/>
          <w:rFonts w:ascii="Tahoma" w:hAnsi="Tahoma" w:cs="Tahoma"/>
          <w:color w:val="333333"/>
          <w:sz w:val="18"/>
          <w:szCs w:val="18"/>
          <w:u w:val="single"/>
          <w:lang w:val="en-US"/>
        </w:rPr>
        <w:t> 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Style w:val="a4"/>
          <w:rFonts w:ascii="Tahoma" w:hAnsi="Tahoma" w:cs="Tahoma"/>
          <w:color w:val="333333"/>
          <w:sz w:val="18"/>
          <w:szCs w:val="18"/>
          <w:u w:val="single"/>
          <w:lang w:val="en-US"/>
        </w:rPr>
        <w:t>6. ORDINEA DE DEPUNERE A CERERILOR ŞI PREZENTARE A PROBELOR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Persoanele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fizice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, care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doresc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proofErr w:type="gram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să</w:t>
      </w:r>
      <w:proofErr w:type="spellEnd"/>
      <w:proofErr w:type="gram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participe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la concurs,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depun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o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cerere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formă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tipizată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.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Cererile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participare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la </w:t>
      </w:r>
      <w:proofErr w:type="gram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concurs</w:t>
      </w:r>
      <w:proofErr w:type="gram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se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primesc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comitetele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organizatorice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ale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filialelor</w:t>
      </w:r>
      <w:proofErr w:type="spellEnd"/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proofErr w:type="gram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Camerei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Comerţ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şi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Industrie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şi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al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Camerei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Comerţ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şi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Industrie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a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Republicii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Moldova (or.</w:t>
      </w:r>
      <w:proofErr w:type="gram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Chişinău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, bul. </w:t>
      </w:r>
      <w:proofErr w:type="spellStart"/>
      <w:proofErr w:type="gram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Ştefan</w:t>
      </w:r>
      <w:proofErr w:type="spellEnd"/>
      <w:proofErr w:type="gram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cel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Mare, 151,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telefon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: 23-84-10, 21-07-25.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cerere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se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indică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nominalizarea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şi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categoria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, la care </w:t>
      </w:r>
      <w:proofErr w:type="spellStart"/>
      <w:proofErr w:type="gram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va</w:t>
      </w:r>
      <w:proofErr w:type="spellEnd"/>
      <w:proofErr w:type="gram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participa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vinul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,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concomitent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se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prezintă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câte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2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sticle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(0,7l)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fiecare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vin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.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Comitetele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organizatorice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din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filiale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până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data de 10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octombrie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  2017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vor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prezenta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la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Consiliul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orășenesc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procesele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verbale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ale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şedinţelor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comitetelor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organizatorice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cu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informaţia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referitor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la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învingătorii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I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etape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a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concursului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şi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mostrele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pentru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participare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la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etapa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a II-a –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câte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2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sticle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(0,7l),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Direcţiei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Evenimente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afaceri,Târguri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şi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Expoziţii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a CCI a RM, tel. 23-84-10, 21-07-25.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7. ORGANIZAREA ŞI PETRECEREA DEGUSTAŢIEI.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proofErr w:type="gram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Comisiile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degustare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se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formează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dintr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-un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număr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impar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degustători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, din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cel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puţin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3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membri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.</w:t>
      </w:r>
      <w:proofErr w:type="gram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componenţa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comisiei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degustare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trebuie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proofErr w:type="gram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să</w:t>
      </w:r>
      <w:proofErr w:type="spellEnd"/>
      <w:proofErr w:type="gram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fie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incluşi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experţi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vinificatori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,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reprezentanţi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ai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Consiliul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orășenesc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,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sommelieri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,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consumatori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, etc. </w:t>
      </w:r>
      <w:proofErr w:type="spellStart"/>
      <w:proofErr w:type="gram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Fiecare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comisie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degustare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desemnează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preşedintele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şi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secretarul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comisiei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, care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sunt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responsabili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desfăşurarea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corectă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a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degustării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.</w:t>
      </w:r>
      <w:proofErr w:type="gramEnd"/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Aprecierea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se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efectuează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conform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sistemului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10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puncte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,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fiind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respectată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anonimitatea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producătorului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.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Style w:val="a4"/>
          <w:rFonts w:ascii="Tahoma" w:hAnsi="Tahoma" w:cs="Tahoma"/>
          <w:color w:val="333333"/>
          <w:sz w:val="18"/>
          <w:szCs w:val="18"/>
          <w:u w:val="single"/>
          <w:lang w:val="en-US"/>
        </w:rPr>
        <w:t>9. PREMIEREA PARTICIPANŢILOR LA CONCURS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proofErr w:type="gram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baza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Deciziei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Comitetului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organizatoric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se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desemnează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învingătorii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concursului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.</w:t>
      </w:r>
      <w:proofErr w:type="gramEnd"/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Învingătorii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I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etape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sunt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stabiliţi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şi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premiaţi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cu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cadouri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preţ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către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comitetele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organizatorice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ale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Consiliul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orășenesc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Căuș</w:t>
      </w:r>
      <w:proofErr w:type="gram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eni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.</w:t>
      </w:r>
      <w:proofErr w:type="gramEnd"/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Trofeul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principal al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concursului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proofErr w:type="gram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este</w:t>
      </w:r>
      <w:proofErr w:type="spellEnd"/>
      <w:proofErr w:type="gram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Premiul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Mare “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Polobocul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aur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”, care se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decernează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numai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învingătorului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etapei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a II-a la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fiecare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nominalizare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.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 </w:t>
      </w:r>
      <w:proofErr w:type="spellStart"/>
      <w:proofErr w:type="gram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Comitetul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organizatoric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mai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stabileşte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şi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premii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speciale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pentru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unii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participanţi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.</w:t>
      </w:r>
      <w:proofErr w:type="gramEnd"/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Premierea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învingătorilor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are loc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într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-o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atmosferă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solemnă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cadrul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Sărbătorii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Ziua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Națională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 xml:space="preserve"> a </w:t>
      </w:r>
      <w:proofErr w:type="spellStart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Vinului</w:t>
      </w:r>
      <w:proofErr w:type="spellEnd"/>
      <w:r w:rsidRPr="00640138">
        <w:rPr>
          <w:rFonts w:ascii="Tahoma" w:hAnsi="Tahoma" w:cs="Tahoma"/>
          <w:color w:val="333333"/>
          <w:sz w:val="18"/>
          <w:szCs w:val="18"/>
          <w:lang w:val="en-US"/>
        </w:rPr>
        <w:t>.</w:t>
      </w:r>
    </w:p>
    <w:p w:rsidR="00640138" w:rsidRPr="00640138" w:rsidRDefault="00640138" w:rsidP="006401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640138">
        <w:rPr>
          <w:rFonts w:ascii="Tahoma" w:hAnsi="Tahoma" w:cs="Tahoma"/>
          <w:color w:val="333333"/>
          <w:sz w:val="18"/>
          <w:szCs w:val="18"/>
          <w:lang w:val="en-US"/>
        </w:rPr>
        <w:lastRenderedPageBreak/>
        <w:t> </w:t>
      </w:r>
    </w:p>
    <w:p w:rsidR="00DF2B0E" w:rsidRPr="00640138" w:rsidRDefault="00DF2B0E" w:rsidP="00640138">
      <w:pPr>
        <w:rPr>
          <w:lang w:val="en-US"/>
        </w:rPr>
      </w:pPr>
    </w:p>
    <w:sectPr w:rsidR="00DF2B0E" w:rsidRPr="00640138" w:rsidSect="00DF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30F3"/>
    <w:multiLevelType w:val="multilevel"/>
    <w:tmpl w:val="36CE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85AA6"/>
    <w:multiLevelType w:val="multilevel"/>
    <w:tmpl w:val="D54E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3071C8"/>
    <w:multiLevelType w:val="multilevel"/>
    <w:tmpl w:val="B92A1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338"/>
    <w:rsid w:val="00450738"/>
    <w:rsid w:val="004C2338"/>
    <w:rsid w:val="00640138"/>
    <w:rsid w:val="00751030"/>
    <w:rsid w:val="00964BD1"/>
    <w:rsid w:val="00A215BD"/>
    <w:rsid w:val="00B26F42"/>
    <w:rsid w:val="00BC6BDB"/>
    <w:rsid w:val="00DF2B0E"/>
    <w:rsid w:val="00FA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0E"/>
  </w:style>
  <w:style w:type="paragraph" w:styleId="1">
    <w:name w:val="heading 1"/>
    <w:basedOn w:val="a"/>
    <w:next w:val="a"/>
    <w:link w:val="10"/>
    <w:uiPriority w:val="9"/>
    <w:qFormat/>
    <w:rsid w:val="00640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23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C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338"/>
    <w:rPr>
      <w:b/>
      <w:bCs/>
    </w:rPr>
  </w:style>
  <w:style w:type="paragraph" w:customStyle="1" w:styleId="11">
    <w:name w:val="1"/>
    <w:basedOn w:val="a"/>
    <w:rsid w:val="00B2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0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6401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1041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2018-03-12T11:26:00Z</dcterms:created>
  <dcterms:modified xsi:type="dcterms:W3CDTF">2018-03-12T11:40:00Z</dcterms:modified>
</cp:coreProperties>
</file>