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3" w:rsidRDefault="002A1683" w:rsidP="00994B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12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11552749" r:id="rId6"/>
        </w:objec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2A1683" w:rsidRDefault="002A1683" w:rsidP="002A1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2A1683" w:rsidRDefault="002A1683" w:rsidP="002A1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2A1683" w:rsidRDefault="002A1683" w:rsidP="002A1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2A1683" w:rsidRPr="00A030BD" w:rsidRDefault="002A1683" w:rsidP="002A1683">
      <w:pPr>
        <w:rPr>
          <w:lang w:val="en-US"/>
        </w:rPr>
      </w:pPr>
    </w:p>
    <w:p w:rsidR="002A1683" w:rsidRPr="002B76FE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2A1683" w:rsidRPr="002B76FE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Pr="007B23A8" w:rsidRDefault="002A1683" w:rsidP="002A16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2A1683" w:rsidRPr="00D152A6" w:rsidRDefault="002A1683" w:rsidP="002A1683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Ursu Vera,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str. Ștefan cel Mare și Sfînt, nr.202, cu nr. de înregistrare  02/1-25 - 1556  din 12.12.2018,</w:t>
      </w:r>
    </w:p>
    <w:p w:rsidR="002A1683" w:rsidRPr="002B76FE" w:rsidRDefault="002A1683" w:rsidP="002A16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2A1683" w:rsidRPr="002B76FE" w:rsidRDefault="002A1683" w:rsidP="002A16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2A1683" w:rsidRPr="002B76FE" w:rsidRDefault="002A1683" w:rsidP="002A1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2A1683" w:rsidRPr="002B76FE" w:rsidRDefault="002A1683" w:rsidP="002A168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2A1683" w:rsidRPr="00250372" w:rsidRDefault="002A1683" w:rsidP="002A168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permite cet. Ursu Vera,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str. Ștefan cel Mare și Sfînt, nr. 202,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destinaţiei anexă caldă cu lit.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>A3” cu suprafața exterioară = 41, 8m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suprafața interioară S =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32,1m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>
        <w:rPr>
          <w:rFonts w:ascii="Times New Roman" w:hAnsi="Times New Roman"/>
          <w:sz w:val="28"/>
          <w:szCs w:val="28"/>
          <w:lang w:val="ro-RO"/>
        </w:rPr>
        <w:t xml:space="preserve">str. Ștefan cel Mare și Sfînt, nr. 202,  </w:t>
      </w:r>
      <w:r>
        <w:rPr>
          <w:rFonts w:ascii="Times New Roman" w:hAnsi="Times New Roman" w:cs="Times New Roman"/>
          <w:sz w:val="28"/>
          <w:szCs w:val="28"/>
          <w:lang w:val="ro-RO"/>
        </w:rPr>
        <w:t>în  încăpere comercială.</w:t>
      </w:r>
    </w:p>
    <w:p w:rsidR="002A1683" w:rsidRPr="002B76FE" w:rsidRDefault="002A1683" w:rsidP="002A1683">
      <w:pPr>
        <w:pStyle w:val="a4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2A1683" w:rsidRPr="002B76FE" w:rsidRDefault="002A1683" w:rsidP="002A16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2A1683" w:rsidRPr="002B76FE" w:rsidRDefault="002A1683" w:rsidP="002A16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Tatiana Gabriălean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A1683" w:rsidRDefault="002A1683" w:rsidP="002A16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2A1683" w:rsidRPr="002B76FE" w:rsidRDefault="002A1683" w:rsidP="002A16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Pr="009A3F6C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Victor Lebedev</w:t>
      </w:r>
      <w:bookmarkStart w:id="0" w:name="_GoBack"/>
      <w:bookmarkEnd w:id="0"/>
    </w:p>
    <w:p w:rsidR="002A1683" w:rsidRPr="00BB13CC" w:rsidRDefault="002A1683" w:rsidP="002A1683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2A1683" w:rsidRPr="009A3F6C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 Căuşeni              Ala Cucoş-Chiseliţa</w:t>
      </w: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Pr="00A030BD" w:rsidRDefault="002A1683" w:rsidP="002A1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A1683" w:rsidRDefault="002A1683" w:rsidP="00994B2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2A1683" w:rsidRPr="00F61F09" w:rsidRDefault="002A1683" w:rsidP="002A1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laproiectul</w:t>
      </w:r>
      <w:proofErr w:type="spellEnd"/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A1683" w:rsidRPr="00F61F09" w:rsidRDefault="002A1683" w:rsidP="002A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permiterea</w:t>
      </w:r>
    </w:p>
    <w:p w:rsidR="002A1683" w:rsidRPr="00F61F09" w:rsidRDefault="002A1683" w:rsidP="002A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2A1683" w:rsidRPr="00987903" w:rsidRDefault="002A1683" w:rsidP="002A1683">
      <w:pPr>
        <w:pStyle w:val="a4"/>
        <w:rPr>
          <w:rFonts w:ascii="Times New Roman" w:hAnsi="Times New Roman"/>
          <w:sz w:val="28"/>
          <w:szCs w:val="28"/>
        </w:rPr>
      </w:pPr>
    </w:p>
    <w:p w:rsidR="002A1683" w:rsidRDefault="002A1683" w:rsidP="002A16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Default="002A1683" w:rsidP="00C972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Default="002A1683" w:rsidP="00C972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Pr="00994B27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Pr="00D152A6" w:rsidRDefault="002A1683" w:rsidP="00C97217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Ursu Vera, cu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  str. Ștefan cel Mare și Sfînt, nr.202, cu nr. de înregistrare  02/1-25 - 1556  din 12.12.2018,</w:t>
            </w:r>
          </w:p>
          <w:p w:rsidR="002A1683" w:rsidRPr="00983535" w:rsidRDefault="002A1683" w:rsidP="00C972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destinaţiei : anexă caldă cu lit. </w:t>
            </w:r>
            <w:r w:rsidRPr="00983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A3” cu suprafața exterioară = 41, 8m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suprafața interioară S =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32,1m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Ștefan cel Mare și Sfînt, nr. 202,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 încăpere comercială, în folosul comunității și a cetățenilor din sectorul dat.</w:t>
            </w:r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Pr="00994B27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83" w:rsidRPr="002B76FE" w:rsidRDefault="002A1683" w:rsidP="00C97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2A1683" w:rsidRPr="002B76FE" w:rsidRDefault="002A1683" w:rsidP="00C97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2A1683" w:rsidRPr="002B76FE" w:rsidRDefault="002A1683" w:rsidP="00C9721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2A1683" w:rsidRPr="00DF565C" w:rsidRDefault="002A1683" w:rsidP="00C97217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</w:tc>
      </w:tr>
      <w:tr w:rsidR="002A1683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2A1683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Default="002A1683" w:rsidP="00C972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Pr="00994B27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94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83" w:rsidRPr="00994B27" w:rsidRDefault="002A1683" w:rsidP="0099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  <w:proofErr w:type="gramEnd"/>
            <w:r w:rsidR="00994B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  <w:r w:rsidR="00994B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994B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A1683" w:rsidRPr="00DF565C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83" w:rsidRDefault="002A1683" w:rsidP="00C97217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994B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994B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83" w:rsidRPr="002A7795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2A1683" w:rsidRPr="00BB206D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83" w:rsidRPr="009D6D3F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2A1683" w:rsidRPr="00994B27" w:rsidTr="00C9721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83" w:rsidRDefault="002A1683" w:rsidP="00C972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RegulamentulaprobatprinHotărîreaGuvernuluiRepublicii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2A1683" w:rsidRDefault="002A1683" w:rsidP="00994B27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Legiiprivindadministraţiapublicăl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2A1683" w:rsidRDefault="002A1683" w:rsidP="002A16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1683" w:rsidRDefault="002A1683" w:rsidP="002A16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1683" w:rsidRDefault="002A1683" w:rsidP="002A16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1683" w:rsidRDefault="002A1683" w:rsidP="002A16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994B27"/>
    <w:sectPr w:rsidR="00413527" w:rsidSect="008B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14"/>
    <w:rsid w:val="002A1683"/>
    <w:rsid w:val="00676C9C"/>
    <w:rsid w:val="00692D11"/>
    <w:rsid w:val="00735E14"/>
    <w:rsid w:val="008B5812"/>
    <w:rsid w:val="0099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A1683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2A1683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2A168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A16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2019-02-13T06:33:00Z</dcterms:created>
  <dcterms:modified xsi:type="dcterms:W3CDTF">2019-02-13T06:46:00Z</dcterms:modified>
</cp:coreProperties>
</file>