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79" w:rsidRDefault="00A65A79" w:rsidP="00C73F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08">
        <w:rPr>
          <w:rFonts w:ascii="Times New Roman" w:eastAsiaTheme="minorEastAsia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5" o:title=""/>
          </v:shape>
          <o:OLEObject Type="Embed" ProgID="Word.Picture.8" ShapeID="_x0000_i1025" DrawAspect="Content" ObjectID="_1679121160" r:id="rId6"/>
        </w:object>
      </w:r>
      <w:r>
        <w:rPr>
          <w:rFonts w:ascii="Times New Roman" w:hAnsi="Times New Roman" w:cs="Times New Roman"/>
          <w:sz w:val="28"/>
          <w:szCs w:val="28"/>
        </w:rPr>
        <w:t>PROIECT</w:t>
      </w:r>
    </w:p>
    <w:p w:rsidR="00A65A79" w:rsidRDefault="00A65A79" w:rsidP="00A65A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A65A79" w:rsidRDefault="00A65A79" w:rsidP="00A65A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A65A79" w:rsidRDefault="00A65A79" w:rsidP="00A65A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A65A79" w:rsidRDefault="00A65A79" w:rsidP="00C7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____/____</w:t>
      </w:r>
    </w:p>
    <w:p w:rsidR="00A65A79" w:rsidRDefault="00A65A79" w:rsidP="00A6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din ______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A65A79" w:rsidRPr="00FB3F14" w:rsidRDefault="00A65A79" w:rsidP="00A6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5A79" w:rsidRDefault="00A65A79" w:rsidP="00A6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</w:t>
      </w:r>
      <w:r w:rsidR="00C73F6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A65A79" w:rsidRPr="00C73F6B" w:rsidRDefault="00A65A79" w:rsidP="00A6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încăperilor și </w:t>
      </w:r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</w:p>
    <w:p w:rsidR="00A65A79" w:rsidRPr="00C73F6B" w:rsidRDefault="00A65A79" w:rsidP="00A6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65A79" w:rsidRPr="007B23A8" w:rsidRDefault="00A65A79" w:rsidP="00A65A7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A65A79" w:rsidRDefault="00A65A79" w:rsidP="00A65A79">
      <w:pPr>
        <w:pStyle w:val="a4"/>
        <w:ind w:firstLine="708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cet. </w:t>
      </w:r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Cazac Tudora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domiciliu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în </w:t>
      </w:r>
      <w:r>
        <w:rPr>
          <w:rFonts w:ascii="Times New Roman" w:hAnsi="Times New Roman"/>
          <w:sz w:val="28"/>
          <w:szCs w:val="28"/>
          <w:lang w:val="ro-RO"/>
        </w:rPr>
        <w:t xml:space="preserve">or. Căușeni, str. </w:t>
      </w:r>
      <w:r w:rsidRPr="00C73F6B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Unirii, nr. 10, ap. 12-13</w:t>
      </w:r>
      <w:r>
        <w:rPr>
          <w:rFonts w:ascii="Times New Roman" w:hAnsi="Times New Roman"/>
          <w:sz w:val="28"/>
          <w:szCs w:val="28"/>
          <w:lang w:val="ro-RO"/>
        </w:rPr>
        <w:t>,   înregistrată în registrul comun al primăriei or. Căușeni cu nr. de înregistrare  02/1-25 - 499  din 18.03.2021,</w:t>
      </w:r>
    </w:p>
    <w:p w:rsidR="00A65A79" w:rsidRDefault="00A65A79" w:rsidP="00A65A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locative nr. 77,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etajul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II cu nr.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2701205.067.01.077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din </w:t>
      </w:r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str. </w:t>
      </w:r>
      <w:proofErr w:type="spellStart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Unirii</w:t>
      </w:r>
      <w:proofErr w:type="spellEnd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 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bucătărie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SRL.</w:t>
      </w:r>
    </w:p>
    <w:p w:rsidR="00A65A79" w:rsidRDefault="00A65A79" w:rsidP="00A65A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S.R.L ”</w:t>
      </w:r>
      <w:proofErr w:type="gramEnd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GMP-IMOBIL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”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TreiFîntîni</w:t>
      </w:r>
      <w:proofErr w:type="spellEnd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</w:t>
      </w:r>
      <w:proofErr w:type="gramEnd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înregistrată în registrul comun al primăriei or. Căușeni cu nr. de înregistrare  02/1-25 - 493  din 18.03.2021,</w:t>
      </w:r>
    </w:p>
    <w:p w:rsidR="00A65A79" w:rsidRDefault="00A65A79" w:rsidP="00A65A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bloc administrative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/3.000/ 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din str. </w:t>
      </w:r>
      <w:proofErr w:type="spellStart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Șos</w:t>
      </w:r>
      <w:proofErr w:type="spellEnd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. </w:t>
      </w:r>
      <w:proofErr w:type="spellStart"/>
      <w:proofErr w:type="gramStart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Tighina</w:t>
      </w:r>
      <w:proofErr w:type="spellEnd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</w:t>
      </w:r>
      <w:proofErr w:type="gramEnd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14,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spațiu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73F6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SRL.</w:t>
      </w:r>
    </w:p>
    <w:p w:rsidR="00A65A79" w:rsidRDefault="00A65A79" w:rsidP="00A65A7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S.A ”</w:t>
      </w:r>
      <w:proofErr w:type="gramEnd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EXIMOTOR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”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Aerodromului</w:t>
      </w:r>
      <w:proofErr w:type="spellEnd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</w:t>
      </w:r>
      <w:proofErr w:type="gramEnd"/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15, ap.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înregistrată în registrul comun al primăriei or. Căușeni cu nr. de înregistrare  02/1-25 - 174  din 26.01.2021,</w:t>
      </w:r>
    </w:p>
    <w:p w:rsidR="00A65A79" w:rsidRDefault="00A65A79" w:rsidP="00A65A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casă de locuit individuală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Pr="00C73F6B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str. Iu. Gagarin, nr. 63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or. Căușeni în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spațiu comercial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SRL.</w:t>
      </w:r>
    </w:p>
    <w:p w:rsidR="00A65A79" w:rsidRDefault="00C73F6B" w:rsidP="00A65A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65A79">
        <w:rPr>
          <w:rFonts w:ascii="Times New Roman" w:hAnsi="Times New Roman" w:cs="Times New Roman"/>
          <w:sz w:val="28"/>
          <w:szCs w:val="28"/>
          <w:lang w:val="en-US"/>
        </w:rPr>
        <w:t>vizele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5A79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="00A65A79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="00A65A79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A65A7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65A79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5A79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5A7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65A7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65A79" w:rsidRDefault="00C73F6B" w:rsidP="00A65A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65A7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5A7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A65A79"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A65A79" w:rsidRPr="004857AB" w:rsidRDefault="00A65A79" w:rsidP="00A65A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art.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A65A79" w:rsidRDefault="00A65A79" w:rsidP="00A65A79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art. 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A65A79" w:rsidRPr="007B193B" w:rsidRDefault="00A65A79" w:rsidP="00A65A79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amnajărilor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A65A79" w:rsidRDefault="00A65A79" w:rsidP="00A65A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A65A79" w:rsidRPr="00E948D1" w:rsidRDefault="00A65A79" w:rsidP="00A65A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5A79" w:rsidRPr="0063693D" w:rsidRDefault="00A65A79" w:rsidP="00A65A7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693D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Se permite cet. </w:t>
      </w:r>
      <w:r w:rsidRPr="004774AA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Cazac Tudora</w:t>
      </w:r>
      <w:r w:rsidRPr="0063693D">
        <w:rPr>
          <w:rFonts w:ascii="Times New Roman" w:hAnsi="Times New Roman" w:cs="Times New Roman"/>
          <w:sz w:val="28"/>
          <w:szCs w:val="28"/>
          <w:lang w:val="ro-RO"/>
        </w:rPr>
        <w:t xml:space="preserve"> cu domiciliu</w:t>
      </w: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63693D">
        <w:rPr>
          <w:rFonts w:ascii="Times New Roman" w:hAnsi="Times New Roman"/>
          <w:sz w:val="28"/>
          <w:szCs w:val="28"/>
          <w:lang w:val="ro-RO"/>
        </w:rPr>
        <w:t xml:space="preserve"> în or. Căușeni, str. </w:t>
      </w:r>
      <w:r w:rsidRPr="004774AA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Unirii, nr. 10</w:t>
      </w:r>
      <w:r w:rsidRPr="0063693D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4774AA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ap. 12-13</w:t>
      </w:r>
      <w:r w:rsidRPr="0063693D">
        <w:rPr>
          <w:rFonts w:ascii="Times New Roman" w:hAnsi="Times New Roman"/>
          <w:sz w:val="28"/>
          <w:szCs w:val="28"/>
          <w:lang w:val="ro-RO"/>
        </w:rPr>
        <w:t>,</w:t>
      </w:r>
      <w:r w:rsidRPr="0063693D">
        <w:rPr>
          <w:rFonts w:ascii="Times New Roman" w:hAnsi="Times New Roman" w:cs="Times New Roman"/>
          <w:sz w:val="28"/>
          <w:szCs w:val="28"/>
          <w:lang w:val="ro-RO"/>
        </w:rPr>
        <w:t xml:space="preserve"> schimbarea destinației  încăperii sub formă de ” încăpere locativă </w:t>
      </w:r>
      <w:r w:rsidRPr="004774AA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nr. 77</w:t>
      </w:r>
      <w:r w:rsidRPr="0063693D">
        <w:rPr>
          <w:rFonts w:ascii="Times New Roman" w:hAnsi="Times New Roman" w:cs="Times New Roman"/>
          <w:sz w:val="28"/>
          <w:szCs w:val="28"/>
          <w:lang w:val="ro-RO"/>
        </w:rPr>
        <w:t xml:space="preserve">, etajul II, cu nr. cadastral: </w:t>
      </w:r>
      <w:r w:rsidRPr="004774AA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2701205.067.01.077</w:t>
      </w:r>
      <w:r w:rsidRPr="0063693D">
        <w:rPr>
          <w:rFonts w:ascii="Times New Roman" w:hAnsi="Times New Roman" w:cs="Times New Roman"/>
          <w:sz w:val="28"/>
          <w:szCs w:val="28"/>
          <w:lang w:val="ro-RO"/>
        </w:rPr>
        <w:t xml:space="preserve">,  ” din str. </w:t>
      </w:r>
      <w:r w:rsidRPr="004774AA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Unirii, nr. 10,  </w:t>
      </w:r>
      <w:r w:rsidRPr="0063693D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Pr="0063693D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63693D">
        <w:rPr>
          <w:rFonts w:ascii="Times New Roman" w:hAnsi="Times New Roman"/>
          <w:sz w:val="28"/>
          <w:szCs w:val="28"/>
          <w:lang w:val="ro-RO"/>
        </w:rPr>
        <w:t xml:space="preserve"> bucătărie </w:t>
      </w:r>
      <w:r w:rsidRPr="0063693D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65A79" w:rsidRDefault="00A65A79" w:rsidP="00A65A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permite </w:t>
      </w:r>
      <w:r w:rsidRPr="00B84BF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S.R.L ” GMP-IMOBIL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”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B84BF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TreiFîntîni</w:t>
      </w:r>
      <w:proofErr w:type="spellEnd"/>
      <w:r w:rsidRPr="00B84BF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F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nr. 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 w:rsidR="00B84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B84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 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bloc </w:t>
      </w:r>
      <w:r w:rsidR="00B84BF3">
        <w:rPr>
          <w:rFonts w:ascii="Times New Roman" w:hAnsi="Times New Roman" w:cs="Times New Roman"/>
          <w:sz w:val="28"/>
          <w:szCs w:val="28"/>
          <w:lang w:val="en-US"/>
        </w:rPr>
        <w:t xml:space="preserve">administrative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/3.000/ 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din str</w:t>
      </w:r>
      <w:r w:rsidRPr="00B84BF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. </w:t>
      </w:r>
      <w:proofErr w:type="spellStart"/>
      <w:r w:rsidRPr="00B84BF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șos</w:t>
      </w:r>
      <w:proofErr w:type="spellEnd"/>
      <w:r w:rsidRPr="00B84BF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. </w:t>
      </w:r>
      <w:proofErr w:type="spellStart"/>
      <w:r w:rsidRPr="00B84BF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Tighina</w:t>
      </w:r>
      <w:proofErr w:type="spellEnd"/>
      <w:r w:rsidRPr="00B84BF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 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84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spațiu</w:t>
      </w:r>
      <w:proofErr w:type="spellEnd"/>
      <w:r w:rsidR="00B84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65A79" w:rsidRPr="0063693D" w:rsidRDefault="00A65A79" w:rsidP="00A65A7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permite </w:t>
      </w:r>
      <w:r w:rsidRPr="00B84BF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S.A ” EXIMOTOR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”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B84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84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B84BF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Aerodromului</w:t>
      </w:r>
      <w:proofErr w:type="spellEnd"/>
      <w:r w:rsidRPr="00B84BF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 15, ap.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 w:rsidR="00B84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B84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B84B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 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casă de locuit individuală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str. </w:t>
      </w:r>
      <w:r w:rsidRPr="00B84BF3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Iu. Gagarin, nr. 63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or. Căușeni în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spațiu comercial </w:t>
      </w:r>
      <w:r w:rsidRPr="008D76C1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65A79" w:rsidRPr="006479E2" w:rsidRDefault="00A65A79" w:rsidP="00A65A79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4 .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6D5D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D5D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20, 163, lit.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6D5D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judecătoriaC</w:t>
      </w:r>
      <w:proofErr w:type="spellEnd"/>
      <w:r w:rsidR="006D5D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D5D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86.</w:t>
      </w:r>
    </w:p>
    <w:p w:rsidR="00A65A79" w:rsidRDefault="00A65A79" w:rsidP="00A65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5A79" w:rsidRPr="002B76FE" w:rsidRDefault="00A65A79" w:rsidP="00A65A79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A65A79" w:rsidRDefault="00A65A79" w:rsidP="00A65A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Dlui Anatolie Donțu,  p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65A79" w:rsidRPr="006D5DAB" w:rsidRDefault="00A65A79" w:rsidP="00A65A79">
      <w:pPr>
        <w:spacing w:after="0"/>
        <w:ind w:left="36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6D5DAB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 xml:space="preserve">- cet. Cazac Tudora; </w:t>
      </w:r>
    </w:p>
    <w:p w:rsidR="00A65A79" w:rsidRPr="006D5DAB" w:rsidRDefault="00A65A79" w:rsidP="00A65A79">
      <w:pPr>
        <w:spacing w:after="0"/>
        <w:ind w:left="36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</w:pPr>
      <w:r w:rsidRPr="006D5DAB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 xml:space="preserve">    -  </w:t>
      </w:r>
      <w:r w:rsidRPr="006D5DA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S.R.L ” GMP-IMOBIL ”</w:t>
      </w:r>
      <w:r w:rsidRPr="006D5DAB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;</w:t>
      </w:r>
    </w:p>
    <w:p w:rsidR="00A65A79" w:rsidRPr="00C73F6B" w:rsidRDefault="00A65A79" w:rsidP="00A65A7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6D5DAB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 xml:space="preserve">    - </w:t>
      </w:r>
      <w:r w:rsidRPr="006D5DA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S.A ” EXIMOTOR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</w:p>
    <w:p w:rsidR="00A65A79" w:rsidRPr="00C73F6B" w:rsidRDefault="00A65A79" w:rsidP="00A65A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se duce la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A65A79" w:rsidRPr="00C73F6B" w:rsidRDefault="00A65A79" w:rsidP="00A65A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65A79" w:rsidRPr="00C73F6B" w:rsidRDefault="00A65A79" w:rsidP="00A65A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     PREȘEDINTELE                      SECRETARUL CONSILIULUI</w:t>
      </w:r>
    </w:p>
    <w:p w:rsidR="00A65A79" w:rsidRPr="00C73F6B" w:rsidRDefault="00A65A79" w:rsidP="00A65A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A65A79" w:rsidRPr="00C73F6B" w:rsidRDefault="00A65A79" w:rsidP="00A65A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73F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C73F6B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A65A79" w:rsidRPr="00C73F6B" w:rsidRDefault="00A65A79" w:rsidP="00A65A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65A79" w:rsidRDefault="00A65A79" w:rsidP="00A6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Anatolie Donțu</w:t>
      </w:r>
    </w:p>
    <w:p w:rsidR="00A65A79" w:rsidRPr="009A3F6C" w:rsidRDefault="00A65A79" w:rsidP="00A6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65A79" w:rsidRDefault="00A65A79" w:rsidP="00A6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orăşenescAla Cucoş-Chiseliţa</w:t>
      </w:r>
    </w:p>
    <w:p w:rsidR="00A65A79" w:rsidRDefault="00A65A79" w:rsidP="00A6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65A79" w:rsidRPr="00BB13CC" w:rsidRDefault="00A65A79" w:rsidP="00A65A79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 Tatiana Gabriălean</w:t>
      </w:r>
    </w:p>
    <w:p w:rsidR="00A65A79" w:rsidRPr="009A3F6C" w:rsidRDefault="00A65A79" w:rsidP="00A6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65A79" w:rsidRDefault="00A65A79" w:rsidP="00A6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CF669D" w:rsidRPr="00A65A79" w:rsidRDefault="00CF669D">
      <w:pPr>
        <w:rPr>
          <w:lang w:val="ro-RO"/>
        </w:rPr>
      </w:pPr>
      <w:bookmarkStart w:id="0" w:name="_GoBack"/>
      <w:bookmarkEnd w:id="0"/>
    </w:p>
    <w:sectPr w:rsidR="00CF669D" w:rsidRPr="00A65A79" w:rsidSect="00E3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F49"/>
    <w:multiLevelType w:val="hybridMultilevel"/>
    <w:tmpl w:val="E3BA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9E"/>
    <w:rsid w:val="004774AA"/>
    <w:rsid w:val="006D5DAB"/>
    <w:rsid w:val="007C7B9E"/>
    <w:rsid w:val="00A65A79"/>
    <w:rsid w:val="00B84BF3"/>
    <w:rsid w:val="00C73F6B"/>
    <w:rsid w:val="00CF669D"/>
    <w:rsid w:val="00E3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65A79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A65A79"/>
    <w:pPr>
      <w:spacing w:after="0" w:line="240" w:lineRule="auto"/>
    </w:pPr>
    <w:rPr>
      <w:rFonts w:ascii="Times New Roman AIB" w:eastAsiaTheme="minorHAnsi" w:hAnsi="Times New Roman AIB"/>
      <w:sz w:val="32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A65A79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A65A7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65A7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65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2021-04-02T13:15:00Z</dcterms:created>
  <dcterms:modified xsi:type="dcterms:W3CDTF">2021-04-05T06:46:00Z</dcterms:modified>
</cp:coreProperties>
</file>