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A" w:rsidRDefault="009C7BAA" w:rsidP="009C7BAA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1.75pt" o:ole="" fillcolor="window">
            <v:imagedata r:id="rId5" o:title=""/>
          </v:shape>
          <o:OLEObject Type="Embed" ProgID="Word.Picture.8" ShapeID="_x0000_i1025" DrawAspect="Content" ObjectID="_1684048807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9C7BAA" w:rsidRDefault="009C7BAA" w:rsidP="009C7BAA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C7BAA" w:rsidRDefault="009C7BAA" w:rsidP="009C7BAA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C7BAA" w:rsidRDefault="009C7BAA" w:rsidP="009C7BAA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C7BAA" w:rsidRDefault="009C7BAA" w:rsidP="009C7BA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9C7BAA" w:rsidRDefault="009C7BAA" w:rsidP="009C7BAA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_________2021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7BAA" w:rsidRDefault="009C7BAA" w:rsidP="009C7B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7BAA" w:rsidRDefault="009C7BAA" w:rsidP="009C7B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 32, lit. g) din Legea privind finanțele publice locale nr. 397 – XV din 16 octombrie 2003,</w:t>
      </w:r>
    </w:p>
    <w:p w:rsidR="009C7BAA" w:rsidRDefault="009C7BAA" w:rsidP="009C7B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art. 4 (1), lit. h), 12 (1), (2) din Legea privind descentralizarea administrativă nr. 435 – XVI din 28.12.2006, 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</w:p>
    <w:p w:rsidR="009C7BAA" w:rsidRDefault="009C7BAA" w:rsidP="009C7BA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Se alocă mijloace financiare în sumă de 284500 lei, din contul soldului de mijloace bănești constituit în urma executării bugetului orașului Căușeni pentru anul 2020, destinate 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achitării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proectare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Curățarea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r.Botna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Pc 0 la Pc  25 “ 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9C7BAA" w:rsidRDefault="009C7BAA" w:rsidP="009C7BA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9C7BAA" w:rsidRDefault="009C7BAA" w:rsidP="009C7BA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9C7BAA" w:rsidRDefault="009C7BAA" w:rsidP="009C7BA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3.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C7BAA" w:rsidRDefault="009C7BAA" w:rsidP="009C7BAA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-     D-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Donțu,primarul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9C7BAA" w:rsidRDefault="009C7BAA" w:rsidP="009C7B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C7BAA" w:rsidRDefault="009C7BAA" w:rsidP="009C7BA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PREȘEDINTELE ȘEDINȚEI                              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CONTRASEMNEAZĂ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ORĂȘĂNESC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-CHISELIȚĂ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AA" w:rsidRDefault="009C7BAA" w:rsidP="009C7BAA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AE3AE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Anato</w:t>
      </w:r>
      <w:r w:rsidR="00AE3AE6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r w:rsidR="00AE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țu</w:t>
      </w:r>
      <w:proofErr w:type="spellEnd"/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Specialist   </w:t>
      </w:r>
      <w:r w:rsidR="00AE3AE6">
        <w:rPr>
          <w:rFonts w:ascii="Times New Roman" w:hAnsi="Times New Roman" w:cs="Times New Roman"/>
          <w:sz w:val="24"/>
          <w:szCs w:val="24"/>
          <w:lang w:val="en-US"/>
        </w:rPr>
        <w:t>principal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AE3AE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C7BAA" w:rsidRDefault="009C7BAA" w:rsidP="009C7BAA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A75462" w:rsidRDefault="009C7BAA" w:rsidP="009C7BA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                                    </w:t>
      </w:r>
      <w:r>
        <w:rPr>
          <w:rFonts w:ascii="Times New Roman" w:hAnsi="Times New Roman"/>
          <w:b/>
          <w:i/>
          <w:sz w:val="32"/>
          <w:szCs w:val="28"/>
          <w:lang w:val="en-US"/>
        </w:rPr>
        <w:t xml:space="preserve"> </w:t>
      </w:r>
    </w:p>
    <w:p w:rsidR="00A75462" w:rsidRDefault="00A75462" w:rsidP="009C7BAA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32"/>
          <w:szCs w:val="28"/>
          <w:lang w:val="en-US"/>
        </w:rPr>
      </w:pPr>
    </w:p>
    <w:p w:rsidR="00AE3AE6" w:rsidRDefault="00AE3AE6" w:rsidP="00A7546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AE3AE6" w:rsidRDefault="00AE3AE6" w:rsidP="00A7546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AE3AE6" w:rsidRDefault="00AE3AE6" w:rsidP="00A7546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AE3AE6" w:rsidRDefault="00AE3AE6" w:rsidP="00A7546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</w:p>
    <w:p w:rsidR="009C7BAA" w:rsidRDefault="009C7BAA" w:rsidP="00A7546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lastRenderedPageBreak/>
        <w:t>N O TĂ   I N F O R M A T I V Ă</w:t>
      </w:r>
    </w:p>
    <w:p w:rsidR="009C7BAA" w:rsidRDefault="009C7BAA" w:rsidP="009C7BA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alocarea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’’</w:t>
      </w:r>
    </w:p>
    <w:tbl>
      <w:tblPr>
        <w:tblStyle w:val="a7"/>
        <w:tblW w:w="0" w:type="auto"/>
        <w:tblInd w:w="0" w:type="dxa"/>
        <w:tblLook w:val="04A0"/>
      </w:tblPr>
      <w:tblGrid>
        <w:gridCol w:w="9570"/>
      </w:tblGrid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Denumirea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proiectului</w:t>
            </w:r>
            <w:proofErr w:type="spellEnd"/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 w:rsidP="00AE3A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3AE6">
              <w:rPr>
                <w:rFonts w:ascii="Times New Roman" w:hAnsi="Times New Roman"/>
                <w:sz w:val="28"/>
                <w:szCs w:val="28"/>
              </w:rPr>
              <w:t xml:space="preserve">principal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Bocearov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Maria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Avănd în vedere necesitatea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achitării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serviciilor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proectare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obiectului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Curățarea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r.Botna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Pc 0 la Pc  25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9C7BAA" w:rsidRDefault="009C7B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alocă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sumă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 284500 lei</w:t>
            </w:r>
          </w:p>
          <w:tbl>
            <w:tblPr>
              <w:tblStyle w:val="a7"/>
              <w:tblW w:w="12264" w:type="dxa"/>
              <w:tblInd w:w="0" w:type="dxa"/>
              <w:tblLook w:val="04A0"/>
            </w:tblPr>
            <w:tblGrid>
              <w:gridCol w:w="9464"/>
              <w:gridCol w:w="1559"/>
              <w:gridCol w:w="1241"/>
            </w:tblGrid>
            <w:tr w:rsidR="009C7BAA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7BAA" w:rsidRDefault="009C7BA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ro-RO"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din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2020,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achitărea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serviciilor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proectare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obiectului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Curățarea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r.Botna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de la Pc 0 la Pc  25 “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în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or.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BAA" w:rsidRDefault="009C7B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BAA" w:rsidRDefault="009C7BA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C7BAA" w:rsidRDefault="009C7BAA"/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mijloacelor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soldul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disponibil</w:t>
            </w:r>
            <w:proofErr w:type="spellEnd"/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C7BAA" w:rsidRP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2003, </w:t>
            </w:r>
          </w:p>
          <w:p w:rsidR="009C7BAA" w:rsidRDefault="009C7BA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nr.435-XVI din 28.12.2006,</w:t>
            </w:r>
          </w:p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nr.436-XVI din 28.12.2006</w:t>
            </w:r>
          </w:p>
        </w:tc>
      </w:tr>
      <w:tr w:rsidR="009C7BAA" w:rsidTr="009C7BAA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7BAA" w:rsidRDefault="009C7BA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9C7BAA" w:rsidRDefault="009C7BAA" w:rsidP="009C7B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9C7BAA" w:rsidRDefault="009C7BAA" w:rsidP="009C7B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</w:p>
    <w:p w:rsidR="00A77207" w:rsidRDefault="00A77207"/>
    <w:sectPr w:rsidR="00A77207" w:rsidSect="00AE3A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C7BAA"/>
    <w:rsid w:val="009C7BAA"/>
    <w:rsid w:val="00A75462"/>
    <w:rsid w:val="00A77207"/>
    <w:rsid w:val="00AE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7BAA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9C7BAA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9C7BAA"/>
  </w:style>
  <w:style w:type="paragraph" w:styleId="a6">
    <w:name w:val="No Spacing"/>
    <w:link w:val="a5"/>
    <w:uiPriority w:val="1"/>
    <w:qFormat/>
    <w:rsid w:val="009C7BAA"/>
    <w:pPr>
      <w:spacing w:after="0" w:line="240" w:lineRule="auto"/>
    </w:pPr>
  </w:style>
  <w:style w:type="paragraph" w:customStyle="1" w:styleId="1">
    <w:name w:val="Абзац списка1"/>
    <w:basedOn w:val="a"/>
    <w:rsid w:val="009C7BAA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9C7BA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800</Words>
  <Characters>4565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2021-06-01T07:31:00Z</dcterms:created>
  <dcterms:modified xsi:type="dcterms:W3CDTF">2021-06-01T07:34:00Z</dcterms:modified>
</cp:coreProperties>
</file>