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80" w:rsidRPr="00D44F80" w:rsidRDefault="00D44F80" w:rsidP="00D44F80">
      <w:pPr>
        <w:shd w:val="clear" w:color="auto" w:fill="FFFFFF"/>
        <w:spacing w:before="106" w:after="106" w:line="240" w:lineRule="auto"/>
        <w:jc w:val="center"/>
        <w:outlineLvl w:val="3"/>
        <w:rPr>
          <w:rFonts w:ascii="Georgia" w:eastAsia="Times New Roman" w:hAnsi="Georgia" w:cs="Times New Roman"/>
          <w:color w:val="333333"/>
          <w:sz w:val="15"/>
          <w:szCs w:val="15"/>
          <w:lang w:val="en-US"/>
        </w:rPr>
      </w:pPr>
      <w:r w:rsidRPr="00D44F80">
        <w:rPr>
          <w:rFonts w:ascii="Georgia" w:eastAsia="Times New Roman" w:hAnsi="Georgia" w:cs="Times New Roman"/>
          <w:b/>
          <w:bCs/>
          <w:color w:val="333333"/>
          <w:sz w:val="15"/>
          <w:szCs w:val="15"/>
          <w:lang w:val="en-US"/>
        </w:rPr>
        <w:t>LEGE</w:t>
      </w:r>
      <w:r w:rsidRPr="00D44F80">
        <w:rPr>
          <w:rFonts w:ascii="Georgia" w:eastAsia="Times New Roman" w:hAnsi="Georgia" w:cs="Times New Roman"/>
          <w:color w:val="333333"/>
          <w:sz w:val="15"/>
          <w:szCs w:val="15"/>
          <w:lang w:val="en-US"/>
        </w:rPr>
        <w:t> Nr. 436</w:t>
      </w:r>
      <w:r w:rsidRPr="00D44F80">
        <w:rPr>
          <w:rFonts w:ascii="Georgia" w:eastAsia="Times New Roman" w:hAnsi="Georgia" w:cs="Times New Roman"/>
          <w:color w:val="333333"/>
          <w:sz w:val="15"/>
          <w:szCs w:val="15"/>
          <w:lang w:val="en-US"/>
        </w:rPr>
        <w:br/>
        <w:t>din 28-12-2006</w:t>
      </w:r>
    </w:p>
    <w:p w:rsidR="00D44F80" w:rsidRPr="00D44F80" w:rsidRDefault="00D44F80" w:rsidP="00D44F80">
      <w:pPr>
        <w:shd w:val="clear" w:color="auto" w:fill="FFFFFF"/>
        <w:spacing w:before="106" w:after="106" w:line="240" w:lineRule="auto"/>
        <w:jc w:val="center"/>
        <w:outlineLvl w:val="3"/>
        <w:rPr>
          <w:rFonts w:ascii="Georgia" w:eastAsia="Times New Roman" w:hAnsi="Georgia" w:cs="Times New Roman"/>
          <w:color w:val="333333"/>
          <w:sz w:val="15"/>
          <w:szCs w:val="15"/>
          <w:lang w:val="en-US"/>
        </w:rPr>
      </w:pPr>
      <w:proofErr w:type="gramStart"/>
      <w:r w:rsidRPr="00D44F80">
        <w:rPr>
          <w:rFonts w:ascii="Georgia" w:eastAsia="Times New Roman" w:hAnsi="Georgia" w:cs="Times New Roman"/>
          <w:b/>
          <w:bCs/>
          <w:color w:val="333333"/>
          <w:sz w:val="15"/>
          <w:lang w:val="en-US"/>
        </w:rPr>
        <w:t>privind</w:t>
      </w:r>
      <w:proofErr w:type="gramEnd"/>
      <w:r w:rsidRPr="00D44F80">
        <w:rPr>
          <w:rFonts w:ascii="Georgia" w:eastAsia="Times New Roman" w:hAnsi="Georgia" w:cs="Times New Roman"/>
          <w:b/>
          <w:bCs/>
          <w:color w:val="333333"/>
          <w:sz w:val="15"/>
          <w:lang w:val="en-US"/>
        </w:rPr>
        <w:t xml:space="preserve"> administraţia publică locală</w:t>
      </w:r>
    </w:p>
    <w:p w:rsid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Georgia" w:hAnsi="Georgia"/>
          <w:color w:val="333333"/>
          <w:lang w:val="en-US"/>
        </w:rPr>
      </w:pPr>
    </w:p>
    <w:p w:rsid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Georgia" w:hAnsi="Georgia"/>
          <w:color w:val="333333"/>
          <w:lang w:val="en-US"/>
        </w:rPr>
      </w:pP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proofErr w:type="spellStart"/>
      <w:proofErr w:type="gramStart"/>
      <w:r w:rsidRPr="00D44F80">
        <w:rPr>
          <w:rStyle w:val="a4"/>
          <w:rFonts w:ascii="Georgia" w:hAnsi="Georgia"/>
          <w:color w:val="333333"/>
          <w:lang w:val="en-US"/>
        </w:rPr>
        <w:t>Articolul</w:t>
      </w:r>
      <w:proofErr w:type="spellEnd"/>
      <w:r w:rsidRPr="00D44F80">
        <w:rPr>
          <w:rStyle w:val="a4"/>
          <w:rFonts w:ascii="Georgia" w:hAnsi="Georgia"/>
          <w:color w:val="333333"/>
          <w:lang w:val="en-US"/>
        </w:rPr>
        <w:t xml:space="preserve"> 39.</w:t>
      </w:r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> 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Atribuţiile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secretarului</w:t>
      </w:r>
      <w:proofErr w:type="spellEnd"/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(1)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Secretarul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îndeplineşte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sub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autoritatea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primarului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următoarele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atribuţii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bază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: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a)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asigură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înştiinţarea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convocării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b)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participă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şedinţele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c)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avizează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proiectele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decizii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ale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contrasemnează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deciziile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>c</w:t>
      </w:r>
      <w:r w:rsidRPr="00D44F80">
        <w:rPr>
          <w:rFonts w:ascii="Georgia" w:hAnsi="Georgia"/>
          <w:color w:val="333333"/>
          <w:sz w:val="12"/>
          <w:szCs w:val="12"/>
          <w:shd w:val="clear" w:color="auto" w:fill="FFFFFF"/>
          <w:vertAlign w:val="superscript"/>
          <w:lang w:val="en-US"/>
        </w:rPr>
        <w:t>1</w:t>
      </w: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exercită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atribuțiile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unităţii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gender la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nivel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garantînd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implementarea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principiului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egalităţii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între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femei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bărbaţi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d)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asigură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buna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funcţionare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primăriei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e)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asigură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efectuarea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lucrărilor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secretariat;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f)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pregăteşte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materialele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marginea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problemelor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supuse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dezbaterii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g)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comunică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remite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termen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5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zile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dacă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legea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nu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prevede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altfel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autorităţilor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persoanelor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interesate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actele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emise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primar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h)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asigură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consultarea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publică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proiectelor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decizii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ale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dispoziţii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normative ale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primarului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informarea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publicului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referitor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deciziile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adoptate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dispoziţiile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emise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 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>h</w:t>
      </w:r>
      <w:r w:rsidRPr="00D44F80">
        <w:rPr>
          <w:rFonts w:ascii="Georgia" w:hAnsi="Georgia"/>
          <w:color w:val="333333"/>
          <w:sz w:val="12"/>
          <w:szCs w:val="12"/>
          <w:shd w:val="clear" w:color="auto" w:fill="FFFFFF"/>
          <w:vertAlign w:val="superscript"/>
          <w:lang w:val="en-US"/>
        </w:rPr>
        <w:t>1</w:t>
      </w: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asigură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includerea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actelor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autorităţii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administraţiei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publice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Registrul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stat 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actelor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locale,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conformitate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cu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prezenta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lege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primeşte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distribuie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întreţine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corespondenţa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j)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eliberează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extrase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copii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orice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act din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arhiva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afara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care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conţin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informaţii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secrete,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stabilite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potrivit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legii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precum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extrase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copii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actele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stare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civilă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k)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organizează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coordonează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poartă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răspundere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pentru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activitatea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serviciilor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stare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civilă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protecţie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socială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exercită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după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caz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atribuţiile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respective;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l)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ţine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evidenţa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gospodăriilor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ţărăneşti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(de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fermier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asociaţiilor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acestora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conform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registrului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aprobat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Guvern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m)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păstrează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aplică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după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caz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sigiliul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n)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acordă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ajutor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consilierilor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comisiilor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o)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administrează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sediul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primăriei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bunurile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p)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eliberează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certificate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proprietate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privată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confirmă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dreptul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proprietate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asupra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cotelor-părţi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valorice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din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patrimoniul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fostelor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întreprinderi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agricole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baza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anexelor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procesul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-verbal 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comisiei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privatizare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bunurilor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întreprinderilor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agricole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, conform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modelului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aprobat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Ministerul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Economiei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Infrastructurii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lang w:val="en-US"/>
        </w:rPr>
        <w:t xml:space="preserve">q) </w:t>
      </w:r>
      <w:proofErr w:type="spellStart"/>
      <w:r w:rsidRPr="00D44F80">
        <w:rPr>
          <w:rFonts w:ascii="Georgia" w:hAnsi="Georgia"/>
          <w:color w:val="333333"/>
          <w:lang w:val="en-US"/>
        </w:rPr>
        <w:t>legalizează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semnăturile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documente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legalizează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copiile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documente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ale </w:t>
      </w:r>
      <w:proofErr w:type="spellStart"/>
      <w:r w:rsidRPr="00D44F80">
        <w:rPr>
          <w:rFonts w:ascii="Georgia" w:hAnsi="Georgia"/>
          <w:color w:val="333333"/>
          <w:lang w:val="en-US"/>
        </w:rPr>
        <w:t>extraselor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D44F80">
        <w:rPr>
          <w:rFonts w:ascii="Georgia" w:hAnsi="Georgia"/>
          <w:color w:val="333333"/>
          <w:lang w:val="en-US"/>
        </w:rPr>
        <w:t>ele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autentifică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procurile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pentru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primirea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pensiilor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indemnizaţiilor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mijloacelor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băneşti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repartizate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acționarilor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fondurilor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investiţii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nemutuale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proces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lichidare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silită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fondurilor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investiţii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pentru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privatizare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proces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lichidare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silită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pentru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primirea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sumelor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indexate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la </w:t>
      </w:r>
      <w:proofErr w:type="spellStart"/>
      <w:r w:rsidRPr="00D44F80">
        <w:rPr>
          <w:rFonts w:ascii="Georgia" w:hAnsi="Georgia"/>
          <w:color w:val="333333"/>
          <w:lang w:val="en-US"/>
        </w:rPr>
        <w:t>depunerile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băneşti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ale </w:t>
      </w:r>
      <w:proofErr w:type="spellStart"/>
      <w:r w:rsidRPr="00D44F80">
        <w:rPr>
          <w:rFonts w:ascii="Georgia" w:hAnsi="Georgia"/>
          <w:color w:val="333333"/>
          <w:lang w:val="en-US"/>
        </w:rPr>
        <w:t>cetăţenilor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„</w:t>
      </w:r>
      <w:proofErr w:type="spellStart"/>
      <w:r w:rsidRPr="00D44F80">
        <w:rPr>
          <w:rFonts w:ascii="Georgia" w:hAnsi="Georgia"/>
          <w:color w:val="333333"/>
          <w:lang w:val="en-US"/>
        </w:rPr>
        <w:t>Banca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Economii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” S.A., </w:t>
      </w:r>
      <w:proofErr w:type="spellStart"/>
      <w:r w:rsidRPr="00D44F80">
        <w:rPr>
          <w:rFonts w:ascii="Georgia" w:hAnsi="Georgia"/>
          <w:color w:val="333333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proces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lichidare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silită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precum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pentru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dreptul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înregistrare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, </w:t>
      </w:r>
      <w:proofErr w:type="spellStart"/>
      <w:r w:rsidRPr="00D44F80">
        <w:rPr>
          <w:rFonts w:ascii="Georgia" w:hAnsi="Georgia"/>
          <w:color w:val="333333"/>
          <w:lang w:val="en-US"/>
        </w:rPr>
        <w:t>transmitere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folosinţă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înstrăinare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lang w:val="en-US"/>
        </w:rPr>
        <w:t>dreptului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lang w:val="en-US"/>
        </w:rPr>
        <w:t>proprietate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asupra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cotelor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valorice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din </w:t>
      </w:r>
      <w:proofErr w:type="spellStart"/>
      <w:r w:rsidRPr="00D44F80">
        <w:rPr>
          <w:rFonts w:ascii="Georgia" w:hAnsi="Georgia"/>
          <w:color w:val="333333"/>
          <w:lang w:val="en-US"/>
        </w:rPr>
        <w:t>bunurile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întreprinderilor</w:t>
      </w:r>
      <w:proofErr w:type="spellEnd"/>
      <w:r w:rsidRPr="00D44F8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lang w:val="en-US"/>
        </w:rPr>
        <w:t>agricole</w:t>
      </w:r>
      <w:proofErr w:type="spellEnd"/>
      <w:r w:rsidRPr="00D44F80">
        <w:rPr>
          <w:rFonts w:ascii="Georgia" w:hAnsi="Georgia"/>
          <w:color w:val="333333"/>
          <w:lang w:val="en-US"/>
        </w:rPr>
        <w:t>;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r) </w:t>
      </w:r>
      <w:proofErr w:type="spellStart"/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înregistrează</w:t>
      </w:r>
      <w:proofErr w:type="spellEnd"/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contractele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arendă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terenurilor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agricole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altor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bunuri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agricole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încheiate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un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termen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pînă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5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ani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inclusiv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t>(1</w:t>
      </w:r>
      <w:r w:rsidRPr="00D44F80">
        <w:rPr>
          <w:rFonts w:ascii="Georgia" w:hAnsi="Georgia"/>
          <w:color w:val="333333"/>
          <w:sz w:val="12"/>
          <w:szCs w:val="12"/>
          <w:shd w:val="clear" w:color="auto" w:fill="FFFFFF"/>
          <w:vertAlign w:val="superscript"/>
          <w:lang w:val="en-US"/>
        </w:rPr>
        <w:t>1</w:t>
      </w:r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cazul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apariţiei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uneia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dintre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circumstanţele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la art.139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alin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. (1) </w:t>
      </w:r>
      <w:proofErr w:type="gram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din</w:t>
      </w:r>
      <w:proofErr w:type="gram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Codul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electoral,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secretarul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consiliului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comunică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scris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acest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fapt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Comisiei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Electorale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Centrale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termen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cel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mult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10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zile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la data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apariţiei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acestei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circumstanţe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D44F80" w:rsidRPr="00D44F80" w:rsidRDefault="00D44F80" w:rsidP="00D44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333333"/>
          <w:sz w:val="15"/>
          <w:szCs w:val="15"/>
          <w:lang w:val="en-US"/>
        </w:rPr>
      </w:pPr>
      <w:r w:rsidRPr="00D44F80">
        <w:rPr>
          <w:rFonts w:ascii="Georgia" w:hAnsi="Georgia"/>
          <w:color w:val="333333"/>
          <w:shd w:val="clear" w:color="auto" w:fill="FFFFFF"/>
          <w:lang w:val="en-US"/>
        </w:rPr>
        <w:lastRenderedPageBreak/>
        <w:t xml:space="preserve">(2)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Secretarul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îndeplineşte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şi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alte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atribuţii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prevăzute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lege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sau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încredinţate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către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consiliul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local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ori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de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către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 xml:space="preserve"> </w:t>
      </w:r>
      <w:proofErr w:type="spellStart"/>
      <w:r w:rsidRPr="00D44F80">
        <w:rPr>
          <w:rFonts w:ascii="Georgia" w:hAnsi="Georgia"/>
          <w:color w:val="333333"/>
          <w:shd w:val="clear" w:color="auto" w:fill="FFFFFF"/>
          <w:lang w:val="en-US"/>
        </w:rPr>
        <w:t>primar</w:t>
      </w:r>
      <w:proofErr w:type="spellEnd"/>
      <w:r w:rsidRPr="00D44F80">
        <w:rPr>
          <w:rFonts w:ascii="Georgia" w:hAnsi="Georgia"/>
          <w:color w:val="333333"/>
          <w:shd w:val="clear" w:color="auto" w:fill="FFFFFF"/>
          <w:lang w:val="en-US"/>
        </w:rPr>
        <w:t>.</w:t>
      </w:r>
    </w:p>
    <w:p w:rsidR="00B21979" w:rsidRPr="00D44F80" w:rsidRDefault="00B21979">
      <w:pPr>
        <w:rPr>
          <w:lang w:val="en-US"/>
        </w:rPr>
      </w:pPr>
    </w:p>
    <w:sectPr w:rsidR="00B21979" w:rsidRPr="00D4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44F80"/>
    <w:rsid w:val="00B21979"/>
    <w:rsid w:val="00D4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4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F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44F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2021-09-03T05:59:00Z</dcterms:created>
  <dcterms:modified xsi:type="dcterms:W3CDTF">2021-09-03T06:00:00Z</dcterms:modified>
</cp:coreProperties>
</file>