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FC" w:rsidRDefault="003F22E3" w:rsidP="00D30DFF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="00D30DFF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A012FC" w:rsidRDefault="00A012FC" w:rsidP="00ED531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531B" w:rsidRPr="001A6882" w:rsidRDefault="00ED531B" w:rsidP="00ED531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="00D30DF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</w:t>
      </w:r>
      <w:r w:rsidRPr="001C6B07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706528295" r:id="rId6"/>
        </w:objec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A1880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PROIECT</w:t>
      </w:r>
    </w:p>
    <w:p w:rsidR="00ED531B" w:rsidRPr="001A6882" w:rsidRDefault="00ED531B" w:rsidP="00ED531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 xml:space="preserve"> REPUBLICA MOLDOVA</w:t>
      </w:r>
    </w:p>
    <w:p w:rsidR="00ED531B" w:rsidRPr="001A6882" w:rsidRDefault="00ED531B" w:rsidP="00ED531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D531B" w:rsidRPr="001A6882" w:rsidRDefault="00ED531B" w:rsidP="00ED531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6882">
        <w:rPr>
          <w:rFonts w:ascii="Times New Roman" w:hAnsi="Times New Roman"/>
          <w:b/>
          <w:sz w:val="28"/>
          <w:szCs w:val="28"/>
          <w:lang w:val="en-US"/>
        </w:rPr>
        <w:t>CONSILIUL OR</w:t>
      </w:r>
      <w:r w:rsidRPr="001C6B07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1A6882">
        <w:rPr>
          <w:rFonts w:ascii="Times New Roman" w:hAnsi="Times New Roman"/>
          <w:b/>
          <w:sz w:val="28"/>
          <w:szCs w:val="28"/>
          <w:lang w:val="en-US"/>
        </w:rPr>
        <w:t>NESC CĂUŞENI</w:t>
      </w:r>
    </w:p>
    <w:p w:rsidR="00ED531B" w:rsidRPr="001A6882" w:rsidRDefault="00ED531B" w:rsidP="00ED531B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531B" w:rsidRPr="001A6882" w:rsidRDefault="00ED531B" w:rsidP="00ED5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D30DF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1/32</w:t>
      </w:r>
    </w:p>
    <w:p w:rsidR="00ED531B" w:rsidRDefault="00ED531B" w:rsidP="00ED531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0DFF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spellStart"/>
      <w:r w:rsidR="00D30DFF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D30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880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</w:p>
    <w:p w:rsidR="00ED531B" w:rsidRPr="006D2D9A" w:rsidRDefault="00ED531B" w:rsidP="00ED531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531B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4B7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64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4B7B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464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proofErr w:type="gram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531B" w:rsidRPr="002F416A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416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D531B" w:rsidRDefault="00ED531B" w:rsidP="00ED53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880" w:rsidRDefault="00ED531B" w:rsidP="00ED531B">
      <w:pPr>
        <w:pStyle w:val="cn"/>
        <w:spacing w:line="276" w:lineRule="auto"/>
        <w:jc w:val="both"/>
        <w:rPr>
          <w:sz w:val="28"/>
          <w:szCs w:val="28"/>
          <w:lang w:val="en-US"/>
        </w:rPr>
      </w:pPr>
      <w:r w:rsidRPr="006D2D9A">
        <w:rPr>
          <w:sz w:val="28"/>
          <w:szCs w:val="28"/>
          <w:lang w:val="en-US"/>
        </w:rPr>
        <w:tab/>
      </w:r>
      <w:proofErr w:type="spellStart"/>
      <w:r w:rsidRPr="006D2D9A">
        <w:rPr>
          <w:sz w:val="28"/>
          <w:szCs w:val="28"/>
          <w:lang w:val="en-US"/>
        </w:rPr>
        <w:t>Având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în</w:t>
      </w:r>
      <w:proofErr w:type="spellEnd"/>
      <w:r w:rsidRPr="006D2D9A">
        <w:rPr>
          <w:sz w:val="28"/>
          <w:szCs w:val="28"/>
          <w:lang w:val="en-US"/>
        </w:rPr>
        <w:t xml:space="preserve"> </w:t>
      </w:r>
      <w:proofErr w:type="spellStart"/>
      <w:r w:rsidRPr="006D2D9A">
        <w:rPr>
          <w:sz w:val="28"/>
          <w:szCs w:val="28"/>
          <w:lang w:val="en-US"/>
        </w:rPr>
        <w:t>ved</w:t>
      </w:r>
      <w:r>
        <w:rPr>
          <w:sz w:val="28"/>
          <w:szCs w:val="28"/>
          <w:lang w:val="en-US"/>
        </w:rPr>
        <w:t>ere</w:t>
      </w:r>
      <w:proofErr w:type="spellEnd"/>
      <w:r w:rsidR="00EA1880">
        <w:rPr>
          <w:sz w:val="28"/>
          <w:szCs w:val="28"/>
          <w:lang w:val="en-US"/>
        </w:rPr>
        <w:t>:</w:t>
      </w:r>
    </w:p>
    <w:p w:rsidR="00EA1880" w:rsidRDefault="00EA1880" w:rsidP="00EA1880">
      <w:pPr>
        <w:pStyle w:val="cn"/>
        <w:spacing w:line="276" w:lineRule="auto"/>
        <w:ind w:firstLine="708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Cererea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cet.Gandacov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Vasile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domiciliată în or. Căușeni, str. Ștefan cel Mare și Sfînt nr.5/44, înregistrată în Registrul comun al primăriei Căușeni cu nr. de întrare 02/1-25-3498 din 02.12</w:t>
      </w:r>
      <w:r w:rsidRPr="00C777A3">
        <w:rPr>
          <w:sz w:val="28"/>
          <w:szCs w:val="28"/>
          <w:lang w:val="ro-RO"/>
        </w:rPr>
        <w:t>.2021</w:t>
      </w:r>
      <w:r>
        <w:rPr>
          <w:sz w:val="28"/>
          <w:szCs w:val="28"/>
          <w:lang w:val="ro-RO"/>
        </w:rPr>
        <w:t>,</w:t>
      </w:r>
    </w:p>
    <w:p w:rsidR="00917325" w:rsidRPr="00917325" w:rsidRDefault="00917325" w:rsidP="00917325">
      <w:pPr>
        <w:pStyle w:val="cn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3646B0">
        <w:rPr>
          <w:sz w:val="28"/>
          <w:szCs w:val="28"/>
          <w:lang w:val="ro-RO"/>
        </w:rPr>
        <w:t>În conformitate cu art.26 pct.1 lit.b), pct.3 a</w:t>
      </w:r>
      <w:r>
        <w:rPr>
          <w:sz w:val="28"/>
          <w:szCs w:val="28"/>
          <w:lang w:val="ro-RO"/>
        </w:rPr>
        <w:t>l</w:t>
      </w:r>
      <w:r w:rsidRPr="003646B0">
        <w:rPr>
          <w:sz w:val="28"/>
          <w:szCs w:val="28"/>
          <w:lang w:val="ro-RO"/>
        </w:rPr>
        <w:t xml:space="preserve"> Ordinului </w:t>
      </w:r>
      <w:r>
        <w:rPr>
          <w:sz w:val="28"/>
          <w:szCs w:val="28"/>
          <w:lang w:val="ro-RO"/>
        </w:rPr>
        <w:t>Ministerului Educației al Repub</w:t>
      </w:r>
      <w:r w:rsidRPr="003646B0">
        <w:rPr>
          <w:sz w:val="28"/>
          <w:szCs w:val="28"/>
          <w:lang w:val="ro-RO"/>
        </w:rPr>
        <w:t>licii Moldova nr. 163 din 23.03.2015  pentru aprobarea Regulamentului cu privire la</w:t>
      </w:r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organizarea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și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desfășurarea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concursului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pentru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ocuparea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funcției</w:t>
      </w:r>
      <w:proofErr w:type="spellEnd"/>
      <w:r w:rsidRPr="003646B0">
        <w:rPr>
          <w:sz w:val="28"/>
          <w:szCs w:val="28"/>
          <w:lang w:val="en-US"/>
        </w:rPr>
        <w:t xml:space="preserve"> de director </w:t>
      </w:r>
      <w:proofErr w:type="spellStart"/>
      <w:r w:rsidRPr="003646B0">
        <w:rPr>
          <w:sz w:val="28"/>
          <w:szCs w:val="28"/>
          <w:lang w:val="en-US"/>
        </w:rPr>
        <w:t>și</w:t>
      </w:r>
      <w:proofErr w:type="spellEnd"/>
      <w:r w:rsidRPr="003646B0">
        <w:rPr>
          <w:sz w:val="28"/>
          <w:szCs w:val="28"/>
          <w:lang w:val="en-US"/>
        </w:rPr>
        <w:t xml:space="preserve"> director adjunct 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instituțiile</w:t>
      </w:r>
      <w:proofErr w:type="spellEnd"/>
      <w:r w:rsidRPr="003646B0">
        <w:rPr>
          <w:sz w:val="28"/>
          <w:szCs w:val="28"/>
          <w:lang w:val="en-US"/>
        </w:rPr>
        <w:t xml:space="preserve"> de </w:t>
      </w:r>
      <w:proofErr w:type="spellStart"/>
      <w:r w:rsidRPr="003646B0">
        <w:rPr>
          <w:sz w:val="28"/>
          <w:szCs w:val="28"/>
          <w:lang w:val="en-US"/>
        </w:rPr>
        <w:t>învățămînt</w:t>
      </w:r>
      <w:proofErr w:type="spellEnd"/>
      <w:r w:rsidRPr="003646B0">
        <w:rPr>
          <w:sz w:val="28"/>
          <w:szCs w:val="28"/>
          <w:lang w:val="en-US"/>
        </w:rPr>
        <w:t xml:space="preserve"> general</w:t>
      </w:r>
      <w:r>
        <w:rPr>
          <w:sz w:val="28"/>
          <w:szCs w:val="28"/>
          <w:lang w:val="en-US"/>
        </w:rPr>
        <w:t>,</w:t>
      </w:r>
    </w:p>
    <w:p w:rsidR="004A6A79" w:rsidRPr="004A6A79" w:rsidRDefault="004A6A79" w:rsidP="004A6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4A6A79">
        <w:rPr>
          <w:rFonts w:ascii="Times New Roman" w:hAnsi="Times New Roman"/>
          <w:sz w:val="28"/>
          <w:szCs w:val="28"/>
          <w:lang w:val="ro-RO"/>
        </w:rPr>
        <w:t>Decizia Consiliului orășenesc Căușeni nr. 19/1 din 26.11.2021 „Cu privire la aprobarea  bugetului oraşului Căuşeni pentru anul 2022”,</w:t>
      </w:r>
    </w:p>
    <w:p w:rsidR="004A6A79" w:rsidRDefault="004A6A79" w:rsidP="004A6A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Hotărârii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Moldova, nr.1001 din 26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punerea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legislative;</w:t>
      </w:r>
    </w:p>
    <w:p w:rsidR="004A6A79" w:rsidRDefault="004A6A79" w:rsidP="004A6A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Clasificatorului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nr.155 din 21.07.2011;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Protecției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Familiei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nr.22 din 03.03.2014 ,,Cu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Clasificatorului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ocupațiilor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Republica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 (CORM 006-14)”,</w:t>
      </w:r>
    </w:p>
    <w:p w:rsidR="004A6A79" w:rsidRDefault="004A6A79" w:rsidP="004A6A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nr.5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Hotărârii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201 din 11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2009 ,,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punerea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nr.158-XVI din 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2008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statutul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funcționarului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public,”,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complectările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ultetioare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ED531B" w:rsidRPr="006D2D9A" w:rsidRDefault="00ED531B" w:rsidP="00ED53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62 – </w:t>
      </w: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63,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22.12.2017,</w:t>
      </w:r>
    </w:p>
    <w:p w:rsidR="00ED531B" w:rsidRDefault="00ED531B" w:rsidP="00ED53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4A6A7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art.3 </w:t>
      </w:r>
      <w:proofErr w:type="spellStart"/>
      <w:r w:rsidR="004A6A79">
        <w:rPr>
          <w:rFonts w:ascii="Times New Roman" w:hAnsi="Times New Roman"/>
          <w:bCs/>
          <w:color w:val="000000"/>
          <w:sz w:val="28"/>
          <w:szCs w:val="28"/>
          <w:lang w:val="en-US"/>
        </w:rPr>
        <w:t>alin</w:t>
      </w:r>
      <w:proofErr w:type="spellEnd"/>
      <w:proofErr w:type="gramStart"/>
      <w:r w:rsidR="004A6A79">
        <w:rPr>
          <w:rFonts w:ascii="Times New Roman" w:hAnsi="Times New Roman"/>
          <w:bCs/>
          <w:color w:val="000000"/>
          <w:sz w:val="28"/>
          <w:szCs w:val="28"/>
          <w:lang w:val="en-US"/>
        </w:rPr>
        <w:t>.(</w:t>
      </w:r>
      <w:proofErr w:type="gramEnd"/>
      <w:r w:rsidR="004A6A7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2), art.7,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>14 (1),</w:t>
      </w:r>
      <w:r w:rsidR="004A6A79" w:rsidRPr="004A6A7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4A6A7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.(2) </w:t>
      </w:r>
      <w:proofErr w:type="spellStart"/>
      <w:r w:rsidR="004A6A79">
        <w:rPr>
          <w:rFonts w:ascii="Times New Roman" w:hAnsi="Times New Roman"/>
          <w:bCs/>
          <w:color w:val="000000"/>
          <w:sz w:val="28"/>
          <w:szCs w:val="28"/>
          <w:lang w:val="en-US"/>
        </w:rPr>
        <w:t>lit.l</w:t>
      </w:r>
      <w:proofErr w:type="spellEnd"/>
      <w:r w:rsidR="004A6A79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),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(3), 20 (5)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ED531B" w:rsidRDefault="00ED531B" w:rsidP="00ED53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07A" w:rsidRDefault="00EA1880" w:rsidP="004D7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5358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D087E">
        <w:rPr>
          <w:rFonts w:ascii="Times New Roman" w:hAnsi="Times New Roman" w:cs="Times New Roman"/>
          <w:sz w:val="28"/>
          <w:szCs w:val="28"/>
          <w:lang w:val="ro-RO"/>
        </w:rPr>
        <w:t>Anexa nr.4 Lista proprietarilor și posesorilor de gara</w:t>
      </w:r>
      <w:r w:rsidR="00840DC7">
        <w:rPr>
          <w:rFonts w:ascii="Times New Roman" w:hAnsi="Times New Roman" w:cs="Times New Roman"/>
          <w:sz w:val="28"/>
          <w:szCs w:val="28"/>
          <w:lang w:val="ro-RO"/>
        </w:rPr>
        <w:t>je or. Căușeni, str. Pietre Vechi 38a, GSC-5-APG-5,</w:t>
      </w:r>
      <w:r w:rsidR="002D087E">
        <w:rPr>
          <w:rFonts w:ascii="Times New Roman" w:hAnsi="Times New Roman" w:cs="Times New Roman"/>
          <w:sz w:val="28"/>
          <w:szCs w:val="28"/>
          <w:lang w:val="ro-RO"/>
        </w:rPr>
        <w:t xml:space="preserve"> aptobată prin Decizia Consiliului orășenesc Căușeni </w:t>
      </w:r>
      <w:r w:rsidR="002D087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nr.9/19 din 28.09.2006 ,, Cu privire la patrimoniul primăriei orașului Căușeni,, </w:t>
      </w:r>
      <w:r w:rsidR="004D773C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>complectează</w:t>
      </w:r>
      <w:r w:rsidR="00BB6378" w:rsidRPr="00BB637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aliniatul 116</w:t>
      </w:r>
      <w:r w:rsidR="004D773C">
        <w:rPr>
          <w:rFonts w:ascii="Times New Roman" w:hAnsi="Times New Roman" w:cs="Times New Roman"/>
          <w:sz w:val="28"/>
          <w:szCs w:val="28"/>
          <w:lang w:val="ro-RO"/>
        </w:rPr>
        <w:t xml:space="preserve"> după cum urmează: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012"/>
        <w:gridCol w:w="1517"/>
        <w:gridCol w:w="1583"/>
        <w:gridCol w:w="1843"/>
        <w:gridCol w:w="2200"/>
        <w:gridCol w:w="1734"/>
      </w:tblGrid>
      <w:tr w:rsidR="004D773C" w:rsidTr="009916FC">
        <w:tc>
          <w:tcPr>
            <w:tcW w:w="1012" w:type="dxa"/>
          </w:tcPr>
          <w:p w:rsidR="004D773C" w:rsidRPr="004D773C" w:rsidRDefault="004D773C" w:rsidP="00197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Nr.gar</w:t>
            </w:r>
          </w:p>
        </w:tc>
        <w:tc>
          <w:tcPr>
            <w:tcW w:w="1517" w:type="dxa"/>
          </w:tcPr>
          <w:p w:rsidR="004D773C" w:rsidRPr="004D773C" w:rsidRDefault="004D773C" w:rsidP="00197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Titularul de drept</w:t>
            </w:r>
          </w:p>
        </w:tc>
        <w:tc>
          <w:tcPr>
            <w:tcW w:w="1583" w:type="dxa"/>
          </w:tcPr>
          <w:p w:rsidR="004D773C" w:rsidRPr="004D773C" w:rsidRDefault="004D773C" w:rsidP="00197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 nașterii</w:t>
            </w:r>
          </w:p>
        </w:tc>
        <w:tc>
          <w:tcPr>
            <w:tcW w:w="1843" w:type="dxa"/>
          </w:tcPr>
          <w:p w:rsidR="004D773C" w:rsidRPr="004D773C" w:rsidRDefault="004D773C" w:rsidP="00197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Nr.pașaportului</w:t>
            </w:r>
          </w:p>
        </w:tc>
        <w:tc>
          <w:tcPr>
            <w:tcW w:w="2200" w:type="dxa"/>
          </w:tcPr>
          <w:p w:rsidR="004D773C" w:rsidRPr="004D773C" w:rsidRDefault="004D773C" w:rsidP="00197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Cod fiscal</w:t>
            </w:r>
          </w:p>
        </w:tc>
        <w:tc>
          <w:tcPr>
            <w:tcW w:w="1734" w:type="dxa"/>
          </w:tcPr>
          <w:p w:rsidR="004D773C" w:rsidRPr="004D773C" w:rsidRDefault="004D773C" w:rsidP="00197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Reședința</w:t>
            </w:r>
          </w:p>
        </w:tc>
      </w:tr>
      <w:tr w:rsidR="009916FC" w:rsidRPr="00D30DFF" w:rsidTr="009916FC">
        <w:tc>
          <w:tcPr>
            <w:tcW w:w="1012" w:type="dxa"/>
          </w:tcPr>
          <w:p w:rsidR="009916FC" w:rsidRPr="009916FC" w:rsidRDefault="00EA1880" w:rsidP="0019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116</w:t>
            </w:r>
          </w:p>
        </w:tc>
        <w:tc>
          <w:tcPr>
            <w:tcW w:w="1517" w:type="dxa"/>
          </w:tcPr>
          <w:p w:rsidR="009916FC" w:rsidRPr="009916FC" w:rsidRDefault="009916FC" w:rsidP="0019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83" w:type="dxa"/>
          </w:tcPr>
          <w:p w:rsidR="009916FC" w:rsidRPr="009916FC" w:rsidRDefault="009916FC" w:rsidP="0019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9916FC" w:rsidRPr="009916FC" w:rsidRDefault="009916FC" w:rsidP="00EA18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00" w:type="dxa"/>
          </w:tcPr>
          <w:p w:rsidR="009916FC" w:rsidRPr="009916FC" w:rsidRDefault="009916FC" w:rsidP="0019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34" w:type="dxa"/>
          </w:tcPr>
          <w:p w:rsidR="009916FC" w:rsidRPr="009916FC" w:rsidRDefault="009916FC" w:rsidP="001976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4D773C" w:rsidRDefault="004D773C" w:rsidP="00197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E1A68" w:rsidRDefault="005E1A68" w:rsidP="005E1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2.Anexa nr.2 Lista proprietarilor și posesorilor de garaje or. Căușeni, str. Poleanichin f/n, GSC-5 aptobată prin Decizia Consiliului orășenesc Căușeni nr.9/19 din 28.09.2006 ,, Cu privire la patrimoniul primăriei orașului Căușeni,, se complectează</w:t>
      </w:r>
      <w:r w:rsidRPr="00BB637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aliniatul 116 și v-a avea următoare redacție după cum urmează: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012"/>
        <w:gridCol w:w="1517"/>
        <w:gridCol w:w="1583"/>
        <w:gridCol w:w="1843"/>
        <w:gridCol w:w="2200"/>
        <w:gridCol w:w="1734"/>
      </w:tblGrid>
      <w:tr w:rsidR="005E1A68" w:rsidTr="00F979F4">
        <w:tc>
          <w:tcPr>
            <w:tcW w:w="1012" w:type="dxa"/>
          </w:tcPr>
          <w:p w:rsidR="005E1A68" w:rsidRPr="004D773C" w:rsidRDefault="005E1A68" w:rsidP="00F97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Nr.gar</w:t>
            </w:r>
          </w:p>
        </w:tc>
        <w:tc>
          <w:tcPr>
            <w:tcW w:w="1517" w:type="dxa"/>
          </w:tcPr>
          <w:p w:rsidR="005E1A68" w:rsidRPr="004D773C" w:rsidRDefault="005E1A68" w:rsidP="00F97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Titularul de drept</w:t>
            </w:r>
          </w:p>
        </w:tc>
        <w:tc>
          <w:tcPr>
            <w:tcW w:w="1583" w:type="dxa"/>
          </w:tcPr>
          <w:p w:rsidR="005E1A68" w:rsidRPr="004D773C" w:rsidRDefault="005E1A68" w:rsidP="00F97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 nașterii</w:t>
            </w:r>
          </w:p>
        </w:tc>
        <w:tc>
          <w:tcPr>
            <w:tcW w:w="1843" w:type="dxa"/>
          </w:tcPr>
          <w:p w:rsidR="005E1A68" w:rsidRPr="004D773C" w:rsidRDefault="005E1A68" w:rsidP="00F97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Nr.pașaportului</w:t>
            </w:r>
          </w:p>
        </w:tc>
        <w:tc>
          <w:tcPr>
            <w:tcW w:w="2200" w:type="dxa"/>
          </w:tcPr>
          <w:p w:rsidR="005E1A68" w:rsidRPr="004D773C" w:rsidRDefault="005E1A68" w:rsidP="00F97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Cod fiscal</w:t>
            </w:r>
          </w:p>
        </w:tc>
        <w:tc>
          <w:tcPr>
            <w:tcW w:w="1734" w:type="dxa"/>
          </w:tcPr>
          <w:p w:rsidR="005E1A68" w:rsidRPr="004D773C" w:rsidRDefault="005E1A68" w:rsidP="00F97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D773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Reședința</w:t>
            </w:r>
          </w:p>
        </w:tc>
      </w:tr>
      <w:tr w:rsidR="005E1A68" w:rsidRPr="00E426D8" w:rsidTr="00F979F4">
        <w:tc>
          <w:tcPr>
            <w:tcW w:w="1012" w:type="dxa"/>
          </w:tcPr>
          <w:p w:rsidR="005E1A68" w:rsidRPr="009916FC" w:rsidRDefault="005E1A68" w:rsidP="00F97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62</w:t>
            </w:r>
          </w:p>
        </w:tc>
        <w:tc>
          <w:tcPr>
            <w:tcW w:w="1517" w:type="dxa"/>
          </w:tcPr>
          <w:p w:rsidR="005E1A68" w:rsidRPr="009916FC" w:rsidRDefault="005E1A68" w:rsidP="00F97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83" w:type="dxa"/>
          </w:tcPr>
          <w:p w:rsidR="005E1A68" w:rsidRPr="009916FC" w:rsidRDefault="005E1A68" w:rsidP="00F97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5E1A68" w:rsidRPr="009916FC" w:rsidRDefault="005E1A68" w:rsidP="00F97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00" w:type="dxa"/>
          </w:tcPr>
          <w:p w:rsidR="005E1A68" w:rsidRPr="009916FC" w:rsidRDefault="005E1A68" w:rsidP="00F97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34" w:type="dxa"/>
          </w:tcPr>
          <w:p w:rsidR="005E1A68" w:rsidRPr="009916FC" w:rsidRDefault="005E1A68" w:rsidP="00F979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1A68" w:rsidRDefault="005E1A68" w:rsidP="00197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EF8" w:rsidRDefault="00866EF8" w:rsidP="00866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3.Punctul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nr.3/8 din 13.03.2019 ,, </w:t>
      </w:r>
      <w:r w:rsidRPr="005126ED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Pr="005126ED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5126E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Revitalizare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Urbană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2019-2021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,,2021,,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,,2022,,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4E551B" w:rsidRDefault="004E551B" w:rsidP="00866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E551B" w:rsidRPr="004E551B" w:rsidRDefault="004E551B" w:rsidP="004E55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Pr="00753ADF">
        <w:rPr>
          <w:rFonts w:ascii="Times New Roman" w:hAnsi="Times New Roman" w:cs="Times New Roman"/>
          <w:sz w:val="28"/>
          <w:szCs w:val="28"/>
          <w:lang w:val="ro-RO"/>
        </w:rPr>
        <w:t>Anexa nr. 2 „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COMPONENȚA COMISIEI privind implementarea proiectului„ BUGETUL CIVIC” în orașul Căușeni,,  </w:t>
      </w:r>
      <w:r w:rsidRPr="004E551B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probată prin </w:t>
      </w:r>
      <w:r w:rsidRPr="00753ADF">
        <w:rPr>
          <w:rFonts w:ascii="Times New Roman" w:hAnsi="Times New Roman" w:cs="Times New Roman"/>
          <w:sz w:val="28"/>
          <w:szCs w:val="28"/>
          <w:lang w:val="ro-RO"/>
        </w:rPr>
        <w:t>Deciziei nr. 6/23 din 29 septembrie 2021 „</w:t>
      </w:r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mecanismul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implementare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civic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789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77895">
        <w:rPr>
          <w:rFonts w:ascii="Times New Roman" w:hAnsi="Times New Roman" w:cs="Times New Roman"/>
          <w:sz w:val="28"/>
          <w:szCs w:val="28"/>
          <w:lang w:val="en-US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ADF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1E1FF4">
        <w:rPr>
          <w:rFonts w:ascii="Times New Roman" w:hAnsi="Times New Roman" w:cs="Times New Roman"/>
          <w:sz w:val="28"/>
          <w:szCs w:val="28"/>
          <w:lang w:val="ro-RO"/>
        </w:rPr>
        <w:t xml:space="preserve">e complectează </w:t>
      </w:r>
      <w:r>
        <w:rPr>
          <w:rFonts w:ascii="Times New Roman" w:hAnsi="Times New Roman" w:cs="Times New Roman"/>
          <w:sz w:val="28"/>
          <w:szCs w:val="28"/>
          <w:lang w:val="ro-RO"/>
        </w:rPr>
        <w:t>după cum urmează, și anume:</w:t>
      </w:r>
    </w:p>
    <w:p w:rsidR="004E551B" w:rsidRPr="004A5C75" w:rsidRDefault="004E551B" w:rsidP="004E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C75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ab/>
        <w:t>__________________ - consilier în Consiliul orășenesc Căușeni</w:t>
      </w:r>
    </w:p>
    <w:p w:rsidR="004E551B" w:rsidRPr="004A5C75" w:rsidRDefault="004E551B" w:rsidP="004E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C75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ab/>
        <w:t>__________________ - consilier în Consiliul orășenesc Căușeni</w:t>
      </w:r>
    </w:p>
    <w:p w:rsidR="004E551B" w:rsidRPr="004A5C75" w:rsidRDefault="004E551B" w:rsidP="004E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C75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ab/>
        <w:t>__________________ - consilier în Consiliul orășenesc Căușeni</w:t>
      </w:r>
    </w:p>
    <w:p w:rsidR="004E551B" w:rsidRPr="004A5C75" w:rsidRDefault="004E551B" w:rsidP="004E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C75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ab/>
        <w:t>__________________ - consilier în Consiliul orășenesc Căușeni</w:t>
      </w:r>
    </w:p>
    <w:p w:rsidR="004E551B" w:rsidRDefault="004E551B" w:rsidP="004E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C75">
        <w:rPr>
          <w:rFonts w:ascii="Times New Roman" w:hAnsi="Times New Roman" w:cs="Times New Roman"/>
          <w:sz w:val="28"/>
          <w:szCs w:val="28"/>
          <w:lang w:val="ro-RO"/>
        </w:rPr>
        <w:t>5.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ab/>
      </w:r>
      <w:bookmarkStart w:id="0" w:name="_Hlk93497167"/>
      <w:r w:rsidRPr="004A5C75">
        <w:rPr>
          <w:rFonts w:ascii="Times New Roman" w:hAnsi="Times New Roman" w:cs="Times New Roman"/>
          <w:sz w:val="28"/>
          <w:szCs w:val="28"/>
          <w:lang w:val="ro-RO"/>
        </w:rPr>
        <w:t xml:space="preserve">__________________ - </w:t>
      </w:r>
      <w:bookmarkEnd w:id="0"/>
      <w:r w:rsidRPr="004A5C75">
        <w:rPr>
          <w:rFonts w:ascii="Times New Roman" w:hAnsi="Times New Roman" w:cs="Times New Roman"/>
          <w:sz w:val="28"/>
          <w:szCs w:val="28"/>
          <w:lang w:val="ro-RO"/>
        </w:rPr>
        <w:t>viceprimarul orașului Căușeni</w:t>
      </w:r>
    </w:p>
    <w:p w:rsidR="004E551B" w:rsidRPr="004A5C75" w:rsidRDefault="004E551B" w:rsidP="004E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C75">
        <w:rPr>
          <w:rFonts w:ascii="Times New Roman" w:hAnsi="Times New Roman" w:cs="Times New Roman"/>
          <w:sz w:val="28"/>
          <w:szCs w:val="28"/>
          <w:lang w:val="ro-RO"/>
        </w:rPr>
        <w:t>13.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Gaina Corina 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>- specialist domeniul tineret, sport</w:t>
      </w:r>
    </w:p>
    <w:p w:rsidR="004E551B" w:rsidRPr="004A5C75" w:rsidRDefault="004E551B" w:rsidP="004E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C75">
        <w:rPr>
          <w:rFonts w:ascii="Times New Roman" w:hAnsi="Times New Roman" w:cs="Times New Roman"/>
          <w:sz w:val="28"/>
          <w:szCs w:val="28"/>
          <w:lang w:val="ro-RO"/>
        </w:rPr>
        <w:t>14.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ab/>
        <w:t xml:space="preserve"> _________________ - AO</w:t>
      </w:r>
    </w:p>
    <w:p w:rsidR="004E551B" w:rsidRPr="001E1FF4" w:rsidRDefault="004E551B" w:rsidP="004E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C75">
        <w:rPr>
          <w:rFonts w:ascii="Times New Roman" w:hAnsi="Times New Roman" w:cs="Times New Roman"/>
          <w:sz w:val="28"/>
          <w:szCs w:val="28"/>
          <w:lang w:val="ro-RO"/>
        </w:rPr>
        <w:t>15.</w:t>
      </w:r>
      <w:r w:rsidRPr="004A5C75">
        <w:rPr>
          <w:rFonts w:ascii="Times New Roman" w:hAnsi="Times New Roman" w:cs="Times New Roman"/>
          <w:sz w:val="28"/>
          <w:szCs w:val="28"/>
          <w:lang w:val="ro-RO"/>
        </w:rPr>
        <w:tab/>
        <w:t xml:space="preserve"> _________________ - AO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A6A79" w:rsidRDefault="004A6A79" w:rsidP="004A6A7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A6A79" w:rsidRDefault="004E551B" w:rsidP="004A6A7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5</w:t>
      </w:r>
      <w:r w:rsidR="004A6A79">
        <w:rPr>
          <w:rFonts w:ascii="Times New Roman" w:hAnsi="Times New Roman"/>
          <w:sz w:val="28"/>
          <w:szCs w:val="28"/>
          <w:lang w:val="en-US"/>
        </w:rPr>
        <w:t>.Anexa</w:t>
      </w:r>
      <w:proofErr w:type="gramEnd"/>
      <w:r w:rsidR="004A6A79">
        <w:rPr>
          <w:rFonts w:ascii="Times New Roman" w:hAnsi="Times New Roman"/>
          <w:sz w:val="28"/>
          <w:szCs w:val="28"/>
          <w:lang w:val="en-US"/>
        </w:rPr>
        <w:t xml:space="preserve"> nr. </w:t>
      </w:r>
      <w:proofErr w:type="gramStart"/>
      <w:r w:rsidR="004A6A79">
        <w:rPr>
          <w:rFonts w:ascii="Times New Roman" w:hAnsi="Times New Roman"/>
          <w:sz w:val="28"/>
          <w:szCs w:val="28"/>
          <w:lang w:val="en-US"/>
        </w:rPr>
        <w:t xml:space="preserve">1 la </w:t>
      </w:r>
      <w:proofErr w:type="spellStart"/>
      <w:r w:rsidR="004A6A79"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 w:rsidR="004A6A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A6A79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="004A6A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A6A79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4A6A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A6A79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4A6A79">
        <w:rPr>
          <w:rFonts w:ascii="Times New Roman" w:hAnsi="Times New Roman"/>
          <w:sz w:val="28"/>
          <w:szCs w:val="28"/>
          <w:lang w:val="en-US"/>
        </w:rPr>
        <w:t xml:space="preserve"> nr.</w:t>
      </w:r>
      <w:proofErr w:type="gramEnd"/>
      <w:r w:rsidR="004A6A79">
        <w:rPr>
          <w:rFonts w:ascii="Times New Roman" w:hAnsi="Times New Roman"/>
          <w:sz w:val="28"/>
          <w:szCs w:val="28"/>
          <w:lang w:val="en-US"/>
        </w:rPr>
        <w:t xml:space="preserve"> 3/5 din 13 </w:t>
      </w:r>
      <w:proofErr w:type="spellStart"/>
      <w:r w:rsidR="004A6A79">
        <w:rPr>
          <w:rFonts w:ascii="Times New Roman" w:hAnsi="Times New Roman"/>
          <w:sz w:val="28"/>
          <w:szCs w:val="28"/>
          <w:lang w:val="en-US"/>
        </w:rPr>
        <w:t>martie</w:t>
      </w:r>
      <w:proofErr w:type="spellEnd"/>
      <w:r w:rsidR="004A6A79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4A6A79" w:rsidRPr="009B71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A6A79">
        <w:rPr>
          <w:rFonts w:ascii="Times New Roman" w:hAnsi="Times New Roman"/>
          <w:sz w:val="28"/>
          <w:szCs w:val="28"/>
          <w:lang w:val="en-US"/>
        </w:rPr>
        <w:t xml:space="preserve">se </w:t>
      </w:r>
      <w:proofErr w:type="spellStart"/>
      <w:r w:rsidR="004A6A79"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 w:rsidR="004A6A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A6A79"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 w:rsidR="004A6A79"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 w:rsidR="004A6A79"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 w:rsidR="004A6A79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4A6A79" w:rsidRDefault="004A6A79" w:rsidP="004A6A7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poziția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viceprimar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”-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unităților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,,1”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substituie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,,2”,</w:t>
      </w:r>
    </w:p>
    <w:p w:rsidR="004A6A79" w:rsidRDefault="004A6A79" w:rsidP="004A6A7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-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poziț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specialist”-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unităților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,,15”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substituie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,,5”,</w:t>
      </w:r>
    </w:p>
    <w:p w:rsidR="004A6A79" w:rsidRDefault="004A6A79" w:rsidP="004A6A7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poziția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contabil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” -</w:t>
      </w:r>
      <w:r w:rsidRPr="00690B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unităților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,,4”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substituie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,,3”, </w:t>
      </w:r>
    </w:p>
    <w:p w:rsidR="004A6A79" w:rsidRDefault="004A6A79" w:rsidP="004A6A7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Titlul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unităților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poziții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4644"/>
        <w:gridCol w:w="4920"/>
      </w:tblGrid>
      <w:tr w:rsidR="004A6A79" w:rsidTr="00A2131D">
        <w:tc>
          <w:tcPr>
            <w:tcW w:w="4644" w:type="dxa"/>
          </w:tcPr>
          <w:p w:rsidR="004A6A79" w:rsidRDefault="004A6A79" w:rsidP="00A2131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Pr="00690BCA">
              <w:rPr>
                <w:rFonts w:ascii="Times New Roman" w:hAnsi="Times New Roman"/>
                <w:sz w:val="28"/>
                <w:szCs w:val="28"/>
                <w:lang w:val="ro-RO"/>
              </w:rPr>
              <w:t>pecialist principal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</w:t>
            </w:r>
          </w:p>
        </w:tc>
        <w:tc>
          <w:tcPr>
            <w:tcW w:w="4920" w:type="dxa"/>
          </w:tcPr>
          <w:p w:rsidR="004A6A79" w:rsidRDefault="004A6A79" w:rsidP="00A2131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fpe</w:t>
            </w:r>
            <w:proofErr w:type="spellEnd"/>
          </w:p>
        </w:tc>
      </w:tr>
      <w:tr w:rsidR="004A6A79" w:rsidTr="00A2131D">
        <w:tc>
          <w:tcPr>
            <w:tcW w:w="4644" w:type="dxa"/>
          </w:tcPr>
          <w:p w:rsidR="004A6A79" w:rsidRDefault="004A6A79" w:rsidP="00A2131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specialist superior</w:t>
            </w:r>
          </w:p>
        </w:tc>
        <w:tc>
          <w:tcPr>
            <w:tcW w:w="4920" w:type="dxa"/>
          </w:tcPr>
          <w:p w:rsidR="004A6A79" w:rsidRDefault="004A6A79" w:rsidP="00A2131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fpe</w:t>
            </w:r>
            <w:proofErr w:type="spellEnd"/>
          </w:p>
        </w:tc>
      </w:tr>
      <w:tr w:rsidR="004A6A79" w:rsidTr="00A2131D">
        <w:tc>
          <w:tcPr>
            <w:tcW w:w="4644" w:type="dxa"/>
          </w:tcPr>
          <w:p w:rsidR="004A6A79" w:rsidRDefault="004A6A79" w:rsidP="00A2131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contabil principal</w:t>
            </w:r>
          </w:p>
        </w:tc>
        <w:tc>
          <w:tcPr>
            <w:tcW w:w="4920" w:type="dxa"/>
          </w:tcPr>
          <w:p w:rsidR="004A6A79" w:rsidRDefault="004A6A79" w:rsidP="00A2131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proofErr w:type="spellEnd"/>
          </w:p>
        </w:tc>
      </w:tr>
    </w:tbl>
    <w:p w:rsidR="004A6A79" w:rsidRDefault="004A6A79" w:rsidP="004A6A7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6A79" w:rsidRPr="009B71F4" w:rsidRDefault="004A6A79" w:rsidP="004A6A7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B71F4">
        <w:rPr>
          <w:rFonts w:ascii="Times New Roman" w:hAnsi="Times New Roman"/>
          <w:sz w:val="28"/>
          <w:szCs w:val="28"/>
          <w:lang w:val="ro-RO"/>
        </w:rPr>
        <w:t>La aliniatul ,,Total” cifra ,,25” se substituie cu cifra ,,26”, în continuare după text.</w:t>
      </w:r>
    </w:p>
    <w:p w:rsidR="00917325" w:rsidRPr="003646B0" w:rsidRDefault="00917325" w:rsidP="00917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7325" w:rsidRDefault="00917325" w:rsidP="0091732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6</w:t>
      </w:r>
      <w:r w:rsidRPr="003646B0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Punctul 1 al deciziei nr. 8/9 din 26.11.2021</w:t>
      </w:r>
      <w:r>
        <w:rPr>
          <w:sz w:val="28"/>
          <w:szCs w:val="28"/>
          <w:lang w:val="en-US"/>
        </w:rPr>
        <w:t xml:space="preserve"> ,,</w:t>
      </w:r>
      <w:r w:rsidRPr="003646B0">
        <w:rPr>
          <w:sz w:val="28"/>
          <w:szCs w:val="28"/>
          <w:lang w:val="en-US"/>
        </w:rPr>
        <w:t xml:space="preserve">Cu </w:t>
      </w:r>
      <w:proofErr w:type="spellStart"/>
      <w:r w:rsidRPr="003646B0">
        <w:rPr>
          <w:sz w:val="28"/>
          <w:szCs w:val="28"/>
          <w:lang w:val="en-US"/>
        </w:rPr>
        <w:t>privire</w:t>
      </w:r>
      <w:proofErr w:type="spellEnd"/>
      <w:r w:rsidRPr="003646B0">
        <w:rPr>
          <w:sz w:val="28"/>
          <w:szCs w:val="28"/>
          <w:lang w:val="en-US"/>
        </w:rPr>
        <w:t xml:space="preserve"> la  </w:t>
      </w:r>
      <w:proofErr w:type="spellStart"/>
      <w:r>
        <w:rPr>
          <w:sz w:val="28"/>
          <w:szCs w:val="28"/>
          <w:lang w:val="en-US"/>
        </w:rPr>
        <w:t>delegarea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17325" w:rsidRDefault="00917325" w:rsidP="0091732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membri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componența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comisiei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pentru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organizarea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și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desfășurarea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concursului</w:t>
      </w:r>
      <w:proofErr w:type="spellEnd"/>
      <w:r w:rsidRPr="003646B0">
        <w:rPr>
          <w:sz w:val="28"/>
          <w:szCs w:val="28"/>
          <w:lang w:val="en-US"/>
        </w:rPr>
        <w:t xml:space="preserve"> </w:t>
      </w:r>
    </w:p>
    <w:p w:rsidR="00917325" w:rsidRDefault="00917325" w:rsidP="0091732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proofErr w:type="spellStart"/>
      <w:proofErr w:type="gramStart"/>
      <w:r w:rsidRPr="003646B0">
        <w:rPr>
          <w:sz w:val="28"/>
          <w:szCs w:val="28"/>
          <w:lang w:val="en-US"/>
        </w:rPr>
        <w:t>pentru</w:t>
      </w:r>
      <w:proofErr w:type="spellEnd"/>
      <w:proofErr w:type="gram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ocuparea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funcției</w:t>
      </w:r>
      <w:proofErr w:type="spellEnd"/>
      <w:r w:rsidRPr="003646B0">
        <w:rPr>
          <w:sz w:val="28"/>
          <w:szCs w:val="28"/>
          <w:lang w:val="en-US"/>
        </w:rPr>
        <w:t xml:space="preserve"> de director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educație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timpurie</w:t>
      </w:r>
      <w:proofErr w:type="spellEnd"/>
      <w:r>
        <w:rPr>
          <w:sz w:val="28"/>
          <w:szCs w:val="28"/>
          <w:lang w:val="en-US"/>
        </w:rPr>
        <w:t xml:space="preserve"> nr.7 or. </w:t>
      </w:r>
    </w:p>
    <w:p w:rsidR="00917325" w:rsidRDefault="00917325" w:rsidP="0091732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expune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redacție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nouă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anume</w:t>
      </w:r>
      <w:proofErr w:type="spellEnd"/>
      <w:r>
        <w:rPr>
          <w:sz w:val="28"/>
          <w:szCs w:val="28"/>
          <w:lang w:val="en-US"/>
        </w:rPr>
        <w:t>:</w:t>
      </w:r>
    </w:p>
    <w:p w:rsidR="00917325" w:rsidRDefault="00917325" w:rsidP="00917325">
      <w:pPr>
        <w:pStyle w:val="2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,,1.</w:t>
      </w:r>
      <w:r w:rsidRPr="003646B0">
        <w:rPr>
          <w:sz w:val="28"/>
          <w:szCs w:val="28"/>
          <w:lang w:val="ro-RO"/>
        </w:rPr>
        <w:t xml:space="preserve">Se deleagă </w:t>
      </w:r>
      <w:r>
        <w:rPr>
          <w:sz w:val="28"/>
          <w:szCs w:val="28"/>
          <w:lang w:val="ro-RO"/>
        </w:rPr>
        <w:t>_________</w:t>
      </w:r>
      <w:r w:rsidRPr="00364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ro-RO"/>
        </w:rPr>
        <w:t>consilier</w:t>
      </w:r>
      <w:r w:rsidRPr="003646B0">
        <w:rPr>
          <w:sz w:val="28"/>
          <w:szCs w:val="28"/>
          <w:lang w:val="ro-RO"/>
        </w:rPr>
        <w:t xml:space="preserve"> Consiliului orășenesc Căușeni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componența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comisiei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pentru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organizare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desfășurare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repetată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etapei</w:t>
      </w:r>
      <w:proofErr w:type="spellEnd"/>
      <w:r>
        <w:rPr>
          <w:sz w:val="28"/>
          <w:szCs w:val="28"/>
          <w:lang w:val="en-US"/>
        </w:rPr>
        <w:t xml:space="preserve"> a IV-a a </w:t>
      </w:r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concursului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pentru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ocuparea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funcției</w:t>
      </w:r>
      <w:proofErr w:type="spellEnd"/>
      <w:r w:rsidRPr="003646B0">
        <w:rPr>
          <w:sz w:val="28"/>
          <w:szCs w:val="28"/>
          <w:lang w:val="en-US"/>
        </w:rPr>
        <w:t xml:space="preserve"> de director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de  </w:t>
      </w:r>
      <w:proofErr w:type="spellStart"/>
      <w:r>
        <w:rPr>
          <w:sz w:val="28"/>
          <w:szCs w:val="28"/>
          <w:lang w:val="en-US"/>
        </w:rPr>
        <w:t>educație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timpurie</w:t>
      </w:r>
      <w:proofErr w:type="spellEnd"/>
      <w:r>
        <w:rPr>
          <w:sz w:val="28"/>
          <w:szCs w:val="28"/>
          <w:lang w:val="en-US"/>
        </w:rPr>
        <w:t xml:space="preserve"> nr.7 din or.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 w:rsidRPr="003646B0"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”,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continuare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după</w:t>
      </w:r>
      <w:proofErr w:type="spellEnd"/>
      <w:r>
        <w:rPr>
          <w:sz w:val="28"/>
          <w:szCs w:val="28"/>
          <w:lang w:val="en-US"/>
        </w:rPr>
        <w:t xml:space="preserve"> text.</w:t>
      </w:r>
    </w:p>
    <w:p w:rsidR="00D30DFF" w:rsidRDefault="00D30DFF" w:rsidP="00917325">
      <w:pPr>
        <w:pStyle w:val="2"/>
        <w:spacing w:after="0" w:line="240" w:lineRule="auto"/>
        <w:jc w:val="both"/>
        <w:rPr>
          <w:sz w:val="28"/>
          <w:szCs w:val="28"/>
          <w:lang w:val="en-US"/>
        </w:rPr>
      </w:pPr>
    </w:p>
    <w:p w:rsidR="00D30DFF" w:rsidRPr="0097759C" w:rsidRDefault="00D30DFF" w:rsidP="00D30D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7759C">
        <w:rPr>
          <w:rFonts w:ascii="Times New Roman" w:hAnsi="Times New Roman" w:cs="Times New Roman"/>
          <w:sz w:val="28"/>
          <w:szCs w:val="28"/>
          <w:lang w:val="en-US"/>
        </w:rPr>
        <w:t>.Decizia</w:t>
      </w:r>
      <w:proofErr w:type="gram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nr.10/5 din 22.12.2021 ,,Cu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Moldova,, se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cu un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30DFF" w:rsidRDefault="00D30DFF" w:rsidP="00D3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,,2.Se abrogă Decizia C</w:t>
      </w:r>
      <w:r w:rsidRPr="0097759C">
        <w:rPr>
          <w:rFonts w:ascii="Times New Roman" w:hAnsi="Times New Roman" w:cs="Times New Roman"/>
          <w:sz w:val="28"/>
          <w:szCs w:val="28"/>
          <w:lang w:val="ro-RO"/>
        </w:rPr>
        <w:t>onsiliului orășenesc Căușeni, nr. 7/6 din 29.10. 2021 ”</w:t>
      </w:r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domeniului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bun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>,,.</w:t>
      </w:r>
    </w:p>
    <w:p w:rsidR="00D30DFF" w:rsidRPr="0097759C" w:rsidRDefault="00D30DFF" w:rsidP="00D3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0DFF" w:rsidRDefault="00D30DFF" w:rsidP="00D30D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12FC">
        <w:rPr>
          <w:rFonts w:ascii="Times New Roman" w:hAnsi="Times New Roman" w:cs="Times New Roman"/>
          <w:sz w:val="28"/>
          <w:szCs w:val="28"/>
          <w:lang w:val="ro-RO"/>
        </w:rPr>
        <w:t>Puctul ,,2,,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12FC">
        <w:rPr>
          <w:rFonts w:ascii="Times New Roman" w:hAnsi="Times New Roman" w:cs="Times New Roman"/>
          <w:sz w:val="28"/>
          <w:szCs w:val="28"/>
          <w:lang w:val="ro-RO"/>
        </w:rPr>
        <w:t xml:space="preserve"> va deveni 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  <w:r w:rsidRPr="00A012FC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</w:t>
      </w:r>
      <w:r w:rsidRPr="00A012FC">
        <w:rPr>
          <w:rFonts w:ascii="Times New Roman" w:hAnsi="Times New Roman" w:cs="Times New Roman"/>
          <w:sz w:val="28"/>
          <w:szCs w:val="28"/>
          <w:lang w:val="ro-RO"/>
        </w:rPr>
        <w:t xml:space="preserve"> punctul ,,3</w:t>
      </w:r>
      <w:r>
        <w:rPr>
          <w:rFonts w:ascii="Times New Roman" w:hAnsi="Times New Roman" w:cs="Times New Roman"/>
          <w:sz w:val="28"/>
          <w:szCs w:val="28"/>
          <w:lang w:val="ro-RO"/>
        </w:rPr>
        <w:t>,, va deveni ,,4,, în continuare după text.</w:t>
      </w:r>
    </w:p>
    <w:p w:rsidR="00464B7B" w:rsidRDefault="00464B7B" w:rsidP="00464B7B">
      <w:pPr>
        <w:spacing w:after="0"/>
        <w:ind w:left="284" w:right="-33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4B7B" w:rsidRPr="00464B7B" w:rsidRDefault="00464B7B" w:rsidP="00464B7B">
      <w:pPr>
        <w:spacing w:after="0"/>
        <w:ind w:right="-3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5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77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2/16 din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07.05.2021 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Cu privire la corectarea erorilor comise la înregistrarea primară masivă a dreptului de proprietate asupra terenurilor proprietate privată”</w:t>
      </w:r>
      <w:r w:rsidRPr="00464B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completează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17325" w:rsidRDefault="00464B7B" w:rsidP="00464B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recomandă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pct. 32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modelele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titlurilor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autentificare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dreptului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deținătorilor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eliberare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păstrare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Moldova, nr.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750 din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2020 de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dispune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retragerea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titlului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autentificare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dreptului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deținătorilor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2701103004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perfectarea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titlu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autentificare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dreptului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deținătorului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Cravciuc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Tatiana,,</w:t>
      </w:r>
    </w:p>
    <w:p w:rsidR="00464B7B" w:rsidRDefault="00464B7B" w:rsidP="00464B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12FC">
        <w:rPr>
          <w:rFonts w:ascii="Times New Roman" w:hAnsi="Times New Roman" w:cs="Times New Roman"/>
          <w:sz w:val="28"/>
          <w:szCs w:val="28"/>
          <w:lang w:val="ro-RO"/>
        </w:rPr>
        <w:t>Puctul ,,2,,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12FC">
        <w:rPr>
          <w:rFonts w:ascii="Times New Roman" w:hAnsi="Times New Roman" w:cs="Times New Roman"/>
          <w:sz w:val="28"/>
          <w:szCs w:val="28"/>
          <w:lang w:val="ro-RO"/>
        </w:rPr>
        <w:t xml:space="preserve"> va deveni 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  <w:r w:rsidRPr="00A012FC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</w:t>
      </w:r>
      <w:r w:rsidRPr="00A012FC">
        <w:rPr>
          <w:rFonts w:ascii="Times New Roman" w:hAnsi="Times New Roman" w:cs="Times New Roman"/>
          <w:sz w:val="28"/>
          <w:szCs w:val="28"/>
          <w:lang w:val="ro-RO"/>
        </w:rPr>
        <w:t xml:space="preserve"> punctul ,,3</w:t>
      </w:r>
      <w:r>
        <w:rPr>
          <w:rFonts w:ascii="Times New Roman" w:hAnsi="Times New Roman" w:cs="Times New Roman"/>
          <w:sz w:val="28"/>
          <w:szCs w:val="28"/>
          <w:lang w:val="ro-RO"/>
        </w:rPr>
        <w:t>,, va deveni ,,4,, și</w:t>
      </w:r>
      <w:r w:rsidRPr="00464B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punctul ,,4,, va deveni ,,5,,   în continuare după text.</w:t>
      </w:r>
    </w:p>
    <w:p w:rsidR="00ED531B" w:rsidRDefault="00D30DFF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</w:t>
      </w:r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ED53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D531B" w:rsidRPr="006D2D9A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531B" w:rsidRPr="006D2D9A" w:rsidRDefault="00D30DFF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ED531B" w:rsidRPr="006D2D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531B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531B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16A">
        <w:rPr>
          <w:rFonts w:ascii="Times New Roman" w:hAnsi="Times New Roman" w:cs="Times New Roman"/>
          <w:sz w:val="28"/>
          <w:szCs w:val="28"/>
          <w:lang w:val="ro-RO"/>
        </w:rPr>
        <w:t xml:space="preserve">comisiei de cenzori al Întreprinderii Municipale </w:t>
      </w:r>
      <w:proofErr w:type="gramStart"/>
      <w:r w:rsidRPr="002F416A">
        <w:rPr>
          <w:rFonts w:ascii="Times New Roman" w:hAnsi="Times New Roman" w:cs="Times New Roman"/>
          <w:sz w:val="28"/>
          <w:szCs w:val="28"/>
          <w:lang w:val="ro-RO"/>
        </w:rPr>
        <w:t>,,Salubrizare</w:t>
      </w:r>
      <w:proofErr w:type="gramEnd"/>
      <w:r w:rsidRPr="002F416A">
        <w:rPr>
          <w:rFonts w:ascii="Times New Roman" w:hAnsi="Times New Roman" w:cs="Times New Roman"/>
          <w:sz w:val="28"/>
          <w:szCs w:val="28"/>
          <w:lang w:val="ro-RO"/>
        </w:rPr>
        <w:t xml:space="preserve"> și Amenajare Căușeni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D531B" w:rsidRPr="006D2D9A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ED531B" w:rsidRPr="006D2D9A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D531B" w:rsidRPr="006D2D9A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531B" w:rsidRDefault="00ED531B" w:rsidP="009173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531B" w:rsidRPr="006D2D9A" w:rsidRDefault="00ED531B" w:rsidP="00ED531B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SECRETARUL CONSILIULUI                                                                              </w:t>
      </w:r>
    </w:p>
    <w:p w:rsidR="00ED531B" w:rsidRPr="006D2D9A" w:rsidRDefault="00ED531B" w:rsidP="00ED531B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ED531B" w:rsidRDefault="00ED531B" w:rsidP="00917325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Ala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17325" w:rsidRPr="006D2D9A" w:rsidRDefault="00917325" w:rsidP="00917325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531B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6A6DC8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p w:rsidR="006A6DC8" w:rsidRDefault="006A6DC8" w:rsidP="006A6DC8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                  Natalia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Mungiu</w:t>
      </w:r>
      <w:proofErr w:type="spellEnd"/>
    </w:p>
    <w:p w:rsidR="00ED531B" w:rsidRPr="006A6DC8" w:rsidRDefault="006A6DC8" w:rsidP="00917325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                 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ED531B" w:rsidRPr="006D2D9A" w:rsidRDefault="00ED531B" w:rsidP="00ED531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>răș</w:t>
      </w: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ED531B" w:rsidRDefault="00ED531B" w:rsidP="00ED531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4B7B" w:rsidRDefault="00464B7B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0DFF" w:rsidRDefault="00D30DFF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D6F33" w:rsidRPr="00917325" w:rsidRDefault="00917325" w:rsidP="0091732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</w:p>
    <w:p w:rsidR="003F22E3" w:rsidRDefault="003F22E3" w:rsidP="003F22E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464B7B" w:rsidRDefault="003F22E3" w:rsidP="00464B7B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464B7B" w:rsidRPr="00464B7B" w:rsidRDefault="003F22E3" w:rsidP="00464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,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>completarea</w:t>
      </w:r>
      <w:proofErr w:type="spellEnd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464B7B" w:rsidRPr="00464B7B">
        <w:rPr>
          <w:rFonts w:ascii="Times New Roman" w:hAnsi="Times New Roman" w:cs="Times New Roman"/>
          <w:b/>
          <w:sz w:val="28"/>
          <w:szCs w:val="28"/>
          <w:lang w:val="en-US"/>
        </w:rPr>
        <w:t>Decizii</w:t>
      </w:r>
      <w:proofErr w:type="spellEnd"/>
    </w:p>
    <w:p w:rsidR="003F22E3" w:rsidRPr="00B1562E" w:rsidRDefault="00464B7B" w:rsidP="00464B7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4B7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4B7B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464B7B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 w:rsidRPr="00464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64B7B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2F4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2E3">
        <w:rPr>
          <w:rFonts w:ascii="Times New Roman" w:hAnsi="Times New Roman"/>
          <w:b/>
          <w:sz w:val="28"/>
          <w:szCs w:val="28"/>
          <w:lang w:val="en-US"/>
        </w:rPr>
        <w:t>”</w:t>
      </w:r>
    </w:p>
    <w:tbl>
      <w:tblPr>
        <w:tblStyle w:val="a5"/>
        <w:tblW w:w="0" w:type="auto"/>
        <w:tblLook w:val="04A0"/>
      </w:tblPr>
      <w:tblGrid>
        <w:gridCol w:w="9571"/>
      </w:tblGrid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Default="003F22E3" w:rsidP="00374A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F22E3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Default="003F22E3" w:rsidP="00374A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Default="003F22E3" w:rsidP="00374A3B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Pr="00B1562E" w:rsidRDefault="003F22E3" w:rsidP="00E426D8">
            <w:pPr>
              <w:pStyle w:val="cn"/>
              <w:spacing w:line="276" w:lineRule="auto"/>
              <w:ind w:firstLine="708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Având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279F1">
              <w:rPr>
                <w:sz w:val="28"/>
                <w:szCs w:val="28"/>
                <w:lang w:val="en-US"/>
              </w:rPr>
              <w:t>Cererea</w:t>
            </w:r>
            <w:proofErr w:type="spellEnd"/>
            <w:r w:rsidR="003279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279F1">
              <w:rPr>
                <w:sz w:val="28"/>
                <w:szCs w:val="28"/>
                <w:lang w:val="en-US"/>
              </w:rPr>
              <w:t>cet</w:t>
            </w:r>
            <w:r w:rsidR="00E426D8">
              <w:rPr>
                <w:sz w:val="28"/>
                <w:szCs w:val="28"/>
                <w:lang w:val="en-US"/>
              </w:rPr>
              <w:t>xxxxxxxxxxxxx</w:t>
            </w:r>
            <w:proofErr w:type="spellEnd"/>
            <w:r w:rsidR="003279F1">
              <w:rPr>
                <w:sz w:val="28"/>
                <w:szCs w:val="28"/>
                <w:lang w:val="ro-RO"/>
              </w:rPr>
              <w:t xml:space="preserve"> înregistrată în Registrul comun al primăriei Căușeni cu nr. de întrare 02/1-25-3498 din 02.12</w:t>
            </w:r>
            <w:r w:rsidR="003279F1" w:rsidRPr="00C777A3">
              <w:rPr>
                <w:sz w:val="28"/>
                <w:szCs w:val="28"/>
                <w:lang w:val="ro-RO"/>
              </w:rPr>
              <w:t>.2021</w:t>
            </w:r>
          </w:p>
        </w:tc>
      </w:tr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Default="003F22E3" w:rsidP="00374A3B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F22E3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Default="003F22E3" w:rsidP="00374A3B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Default="003F22E3" w:rsidP="00374A3B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Pr="00B1562E" w:rsidRDefault="003F22E3" w:rsidP="00374A3B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62 – </w:t>
            </w:r>
            <w:proofErr w:type="gram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63,</w:t>
            </w:r>
            <w:proofErr w:type="gram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 nr. 100 din 22.12.2017</w:t>
            </w:r>
            <w:proofErr w:type="gram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,în</w:t>
            </w:r>
            <w:proofErr w:type="gram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Default="003F22E3" w:rsidP="00374A3B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A79" w:rsidRDefault="004A6A79" w:rsidP="004A6A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1.Anexa nr.4 Lista proprietarilor și posesorilor de garaje or. Căușeni, str. Pietre Vechi 38a, GSC-5-APG-5, aptobată prin Decizia Consiliului orășenesc Căușeni nr.9/19 din 28.09.2006 ,, Cu privire la patrimoniul primăriei orașului Căușeni,, se complectează</w:t>
            </w:r>
            <w:r w:rsidRPr="00BB63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aliniatul 116 după cum urmează: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17"/>
              <w:gridCol w:w="1441"/>
              <w:gridCol w:w="1418"/>
              <w:gridCol w:w="2138"/>
              <w:gridCol w:w="1716"/>
              <w:gridCol w:w="1615"/>
            </w:tblGrid>
            <w:tr w:rsidR="004A6A79" w:rsidTr="00A2131D">
              <w:tc>
                <w:tcPr>
                  <w:tcW w:w="1012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Nr.gar</w:t>
                  </w:r>
                </w:p>
              </w:tc>
              <w:tc>
                <w:tcPr>
                  <w:tcW w:w="1517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Titularul de drept</w:t>
                  </w:r>
                </w:p>
              </w:tc>
              <w:tc>
                <w:tcPr>
                  <w:tcW w:w="1583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Data nașterii</w:t>
                  </w:r>
                </w:p>
              </w:tc>
              <w:tc>
                <w:tcPr>
                  <w:tcW w:w="1843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Nr.pașaportului</w:t>
                  </w:r>
                </w:p>
              </w:tc>
              <w:tc>
                <w:tcPr>
                  <w:tcW w:w="2200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Cod fiscal</w:t>
                  </w:r>
                </w:p>
              </w:tc>
              <w:tc>
                <w:tcPr>
                  <w:tcW w:w="1734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Reședința</w:t>
                  </w:r>
                </w:p>
              </w:tc>
            </w:tr>
            <w:tr w:rsidR="004A6A79" w:rsidRPr="00E426D8" w:rsidTr="00A2131D">
              <w:tc>
                <w:tcPr>
                  <w:tcW w:w="1012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17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83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2200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734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4A6A79" w:rsidRDefault="004A6A79" w:rsidP="004A6A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A6A79" w:rsidRDefault="004A6A79" w:rsidP="004A6A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2.Anexa nr.2 Lista proprietarilor și posesorilor de garaje or. Căușeni, str. Poleanichin f/n, GSC-5 aptobată prin Decizia Consiliului orășenesc Căușeni nr.9/19 din 28.09.2006 ,, Cu privire la patrimoniul primăriei orașului Căușeni,, se complectează</w:t>
            </w:r>
            <w:r w:rsidRPr="00BB63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aliniatul 116 și v-a avea următoare redacție după cum urmează: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17"/>
              <w:gridCol w:w="1441"/>
              <w:gridCol w:w="1418"/>
              <w:gridCol w:w="2138"/>
              <w:gridCol w:w="1716"/>
              <w:gridCol w:w="1615"/>
            </w:tblGrid>
            <w:tr w:rsidR="004A6A79" w:rsidTr="00A2131D">
              <w:tc>
                <w:tcPr>
                  <w:tcW w:w="1012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Nr.gar</w:t>
                  </w:r>
                </w:p>
              </w:tc>
              <w:tc>
                <w:tcPr>
                  <w:tcW w:w="1517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Titularul de drept</w:t>
                  </w:r>
                </w:p>
              </w:tc>
              <w:tc>
                <w:tcPr>
                  <w:tcW w:w="1583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Data nașterii</w:t>
                  </w:r>
                </w:p>
              </w:tc>
              <w:tc>
                <w:tcPr>
                  <w:tcW w:w="1843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Nr.pașaportului</w:t>
                  </w:r>
                </w:p>
              </w:tc>
              <w:tc>
                <w:tcPr>
                  <w:tcW w:w="2200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Cod fiscal</w:t>
                  </w:r>
                </w:p>
              </w:tc>
              <w:tc>
                <w:tcPr>
                  <w:tcW w:w="1734" w:type="dxa"/>
                </w:tcPr>
                <w:p w:rsidR="004A6A79" w:rsidRPr="004D773C" w:rsidRDefault="004A6A79" w:rsidP="00A213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4D77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Reședința</w:t>
                  </w:r>
                </w:p>
              </w:tc>
            </w:tr>
            <w:tr w:rsidR="004A6A79" w:rsidRPr="00E426D8" w:rsidTr="00A2131D">
              <w:tc>
                <w:tcPr>
                  <w:tcW w:w="1012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17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83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2200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734" w:type="dxa"/>
                </w:tcPr>
                <w:p w:rsidR="004A6A79" w:rsidRPr="009916FC" w:rsidRDefault="004A6A79" w:rsidP="00A213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4A6A79" w:rsidRDefault="004A6A79" w:rsidP="004A6A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6A79" w:rsidRDefault="004A6A79" w:rsidP="004A6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3.Punctul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nr.3/8 din 13.03.2019 ,, </w:t>
            </w:r>
            <w:r w:rsidRPr="00512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5126E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5126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Revitalizare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Urbană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2019-2021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orașului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,,2021,,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,,2022,,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text.</w:t>
            </w:r>
          </w:p>
          <w:p w:rsidR="004A6A79" w:rsidRDefault="004A6A79" w:rsidP="004A6A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A6A79" w:rsidRDefault="004A6A79" w:rsidP="004A6A7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4.Anexa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1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3/5 din 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martie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Pr="009B71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4A6A79" w:rsidRDefault="004A6A79" w:rsidP="004A6A7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poziția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viceprimar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unităților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,,1”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,,2”,</w:t>
            </w:r>
          </w:p>
          <w:p w:rsidR="004A6A79" w:rsidRDefault="004A6A79" w:rsidP="004A6A7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poziția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 specialist”-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unităților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,,15”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,,5”,</w:t>
            </w:r>
          </w:p>
          <w:p w:rsidR="004A6A79" w:rsidRDefault="004A6A79" w:rsidP="004A6A7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poziția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 -</w:t>
            </w:r>
            <w:r w:rsidRPr="00690B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unităților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,,4”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,,3”, </w:t>
            </w:r>
          </w:p>
          <w:p w:rsidR="004A6A79" w:rsidRDefault="004A6A79" w:rsidP="004A6A7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Coloana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Titlul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funcțiilor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unităților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următoarele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poziții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4548"/>
              <w:gridCol w:w="4797"/>
            </w:tblGrid>
            <w:tr w:rsidR="004A6A79" w:rsidRPr="00E426D8" w:rsidTr="00A2131D">
              <w:tc>
                <w:tcPr>
                  <w:tcW w:w="4644" w:type="dxa"/>
                </w:tcPr>
                <w:p w:rsidR="004A6A79" w:rsidRDefault="004A6A79" w:rsidP="00A213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</w:t>
                  </w:r>
                  <w:r w:rsidRPr="00690BCA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pecialist principal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         </w:t>
                  </w:r>
                </w:p>
              </w:tc>
              <w:tc>
                <w:tcPr>
                  <w:tcW w:w="4920" w:type="dxa"/>
                </w:tcPr>
                <w:p w:rsidR="004A6A79" w:rsidRDefault="004A6A79" w:rsidP="00A213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9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fpe</w:t>
                  </w:r>
                  <w:proofErr w:type="spellEnd"/>
                </w:p>
              </w:tc>
            </w:tr>
            <w:tr w:rsidR="004A6A79" w:rsidRPr="00E426D8" w:rsidTr="00A2131D">
              <w:tc>
                <w:tcPr>
                  <w:tcW w:w="4644" w:type="dxa"/>
                </w:tcPr>
                <w:p w:rsidR="004A6A79" w:rsidRDefault="004A6A79" w:rsidP="00A213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specialist superior</w:t>
                  </w:r>
                </w:p>
              </w:tc>
              <w:tc>
                <w:tcPr>
                  <w:tcW w:w="4920" w:type="dxa"/>
                </w:tcPr>
                <w:p w:rsidR="004A6A79" w:rsidRDefault="004A6A79" w:rsidP="00A213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1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fpe</w:t>
                  </w:r>
                  <w:proofErr w:type="spellEnd"/>
                </w:p>
              </w:tc>
            </w:tr>
            <w:tr w:rsidR="004A6A79" w:rsidRPr="00E426D8" w:rsidTr="00A2131D">
              <w:tc>
                <w:tcPr>
                  <w:tcW w:w="4644" w:type="dxa"/>
                </w:tcPr>
                <w:p w:rsidR="004A6A79" w:rsidRDefault="004A6A79" w:rsidP="00A213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contabil principal</w:t>
                  </w:r>
                </w:p>
              </w:tc>
              <w:tc>
                <w:tcPr>
                  <w:tcW w:w="4920" w:type="dxa"/>
                </w:tcPr>
                <w:p w:rsidR="004A6A79" w:rsidRDefault="004A6A79" w:rsidP="00A213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1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ps</w:t>
                  </w:r>
                  <w:proofErr w:type="spellEnd"/>
                </w:p>
              </w:tc>
            </w:tr>
          </w:tbl>
          <w:p w:rsidR="004A6A79" w:rsidRDefault="004A6A79" w:rsidP="004A6A7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A6A79" w:rsidRPr="009B71F4" w:rsidRDefault="004A6A79" w:rsidP="004A6A79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B71F4">
              <w:rPr>
                <w:rFonts w:ascii="Times New Roman" w:hAnsi="Times New Roman"/>
                <w:sz w:val="28"/>
                <w:szCs w:val="28"/>
                <w:lang w:val="ro-RO"/>
              </w:rPr>
              <w:t>La aliniatul ,,Total” cifra ,,25” se substituie cu cifra ,,26”, în continuare după text.</w:t>
            </w:r>
          </w:p>
          <w:p w:rsidR="00917325" w:rsidRDefault="00917325" w:rsidP="00917325">
            <w:pPr>
              <w:pStyle w:val="2"/>
              <w:spacing w:after="0" w:line="240" w:lineRule="auto"/>
              <w:ind w:left="-900" w:firstLine="90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6</w:t>
            </w:r>
            <w:r w:rsidRPr="003646B0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Punctul 1 al deciziei nr. 8/9 din 26.11.2021</w:t>
            </w:r>
            <w:r>
              <w:rPr>
                <w:sz w:val="28"/>
                <w:szCs w:val="28"/>
                <w:lang w:val="en-US"/>
              </w:rPr>
              <w:t xml:space="preserve"> ,,</w:t>
            </w:r>
            <w:r w:rsidRPr="003646B0">
              <w:rPr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la  </w:t>
            </w:r>
            <w:proofErr w:type="spellStart"/>
            <w:r>
              <w:rPr>
                <w:sz w:val="28"/>
                <w:szCs w:val="28"/>
                <w:lang w:val="en-US"/>
              </w:rPr>
              <w:t>delegarea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unor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917325" w:rsidRDefault="00917325" w:rsidP="00917325">
            <w:pPr>
              <w:pStyle w:val="2"/>
              <w:spacing w:after="0" w:line="240" w:lineRule="auto"/>
              <w:ind w:left="-900" w:firstLine="90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membri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componența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comisiei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organizarea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desfășurarea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concursului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</w:p>
          <w:p w:rsidR="00917325" w:rsidRDefault="00917325" w:rsidP="00917325">
            <w:pPr>
              <w:pStyle w:val="2"/>
              <w:spacing w:after="0" w:line="240" w:lineRule="auto"/>
              <w:ind w:left="-900" w:firstLine="900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646B0">
              <w:rPr>
                <w:sz w:val="28"/>
                <w:szCs w:val="28"/>
                <w:lang w:val="en-US"/>
              </w:rPr>
              <w:t>pentru</w:t>
            </w:r>
            <w:proofErr w:type="spellEnd"/>
            <w:proofErr w:type="gram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ocuparea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funcției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de director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instituția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educație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timpurie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nr.7 or. </w:t>
            </w:r>
          </w:p>
          <w:p w:rsidR="00917325" w:rsidRDefault="00917325" w:rsidP="00917325">
            <w:pPr>
              <w:pStyle w:val="2"/>
              <w:spacing w:after="0" w:line="240" w:lineRule="auto"/>
              <w:ind w:left="-900" w:firstLine="90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sz w:val="28"/>
                <w:szCs w:val="28"/>
                <w:lang w:val="en-US"/>
              </w:rPr>
              <w:t>expune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redacție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nouă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  <w:p w:rsidR="00917325" w:rsidRDefault="00917325" w:rsidP="00917325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,,1.</w:t>
            </w:r>
            <w:r w:rsidRPr="003646B0">
              <w:rPr>
                <w:sz w:val="28"/>
                <w:szCs w:val="28"/>
                <w:lang w:val="ro-RO"/>
              </w:rPr>
              <w:t xml:space="preserve">Se deleagă </w:t>
            </w:r>
            <w:r>
              <w:rPr>
                <w:sz w:val="28"/>
                <w:szCs w:val="28"/>
                <w:lang w:val="ro-RO"/>
              </w:rPr>
              <w:t>_________</w:t>
            </w:r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>consilier</w:t>
            </w:r>
            <w:r w:rsidRPr="003646B0">
              <w:rPr>
                <w:sz w:val="28"/>
                <w:szCs w:val="28"/>
                <w:lang w:val="ro-RO"/>
              </w:rPr>
              <w:t xml:space="preserve"> Consiliului orășenesc Căușeni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componența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comisiei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organizare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desfășurare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repetată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US"/>
              </w:rPr>
              <w:t>etapei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IV-a a </w:t>
            </w:r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concursului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ocuparea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funcției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de director </w:t>
            </w:r>
            <w:proofErr w:type="spellStart"/>
            <w:r w:rsidRPr="003646B0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instituția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 </w:t>
            </w:r>
            <w:proofErr w:type="spellStart"/>
            <w:r>
              <w:rPr>
                <w:sz w:val="28"/>
                <w:szCs w:val="28"/>
                <w:lang w:val="en-US"/>
              </w:rPr>
              <w:t>educație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timpurie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nr.7 din or. </w:t>
            </w:r>
            <w:proofErr w:type="spellStart"/>
            <w:r>
              <w:rPr>
                <w:sz w:val="28"/>
                <w:szCs w:val="28"/>
                <w:lang w:val="en-US"/>
              </w:rPr>
              <w:t>Căușeni</w:t>
            </w:r>
            <w:proofErr w:type="spellEnd"/>
            <w:r w:rsidRPr="003646B0">
              <w:rPr>
                <w:sz w:val="28"/>
                <w:szCs w:val="28"/>
                <w:lang w:val="en-US"/>
              </w:rPr>
              <w:t>.</w:t>
            </w:r>
            <w:proofErr w:type="gramStart"/>
            <w:r>
              <w:rPr>
                <w:sz w:val="28"/>
                <w:szCs w:val="28"/>
                <w:lang w:val="en-US"/>
              </w:rPr>
              <w:t>”,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continuare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text.</w:t>
            </w:r>
          </w:p>
          <w:p w:rsidR="00D30DFF" w:rsidRPr="0097759C" w:rsidRDefault="00D30DFF" w:rsidP="00D30DF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.Decizia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nr.10/5 din 22.12.2021 ,,Cu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Oficiului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Moldova,, se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completează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un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30DFF" w:rsidRDefault="00D30DFF" w:rsidP="00D30D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,,2.Se abrogă Decizia C</w:t>
            </w:r>
            <w:r w:rsidRPr="009775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onsiliului orășenesc Căușeni, nr. 7/6 din 29.10. 2021 ”</w:t>
            </w:r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domeniului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schimbarea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modului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bun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,,.</w:t>
            </w:r>
          </w:p>
          <w:p w:rsidR="00D30DFF" w:rsidRPr="0097759C" w:rsidRDefault="00D30DFF" w:rsidP="00D30D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F22E3" w:rsidRDefault="00D30DFF" w:rsidP="00D30D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12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Puctul ,,2,,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A012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deveni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</w:t>
            </w:r>
            <w:r w:rsidRPr="00A012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A012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punctul ,,3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 va deveni ,,4,, în continuare după text.</w:t>
            </w:r>
          </w:p>
          <w:p w:rsidR="00464B7B" w:rsidRPr="00464B7B" w:rsidRDefault="00464B7B" w:rsidP="00464B7B">
            <w:pPr>
              <w:ind w:right="-33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7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nr. 2/16 din 07.05.2021 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corectarea erorilor comise la înregistrarea primară masivă a dreptului de proprietate asupra terenurilor proprietate privată”</w:t>
            </w:r>
            <w:r w:rsidRPr="00464B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se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completează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modifică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un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64B7B" w:rsidRDefault="00464B7B" w:rsidP="00464B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recomandă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primarului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pct. 32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modelele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titlurilor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deținătorilor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completare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eliberare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păstrare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1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Moldova, nr. 750 din 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2020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retragerea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titlului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deținătorilor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cadastral 2701103004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perfectarea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titlu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deținătorului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Cravciuc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Tatiana,,</w:t>
            </w:r>
          </w:p>
          <w:p w:rsidR="00464B7B" w:rsidRDefault="00464B7B" w:rsidP="00464B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12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Puctul ,,2,,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A012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deveni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</w:t>
            </w:r>
            <w:r w:rsidRPr="00A012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Pr="00A012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punctul ,,3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 va deveni ,,4,, și</w:t>
            </w:r>
            <w:r w:rsidRPr="00464B7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punctul ,,4,, va deveni ,,5,,   în continuare după text.</w:t>
            </w:r>
          </w:p>
          <w:p w:rsidR="00464B7B" w:rsidRPr="004A6A79" w:rsidRDefault="00464B7B" w:rsidP="00D30D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F22E3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E3" w:rsidRDefault="003F22E3" w:rsidP="00374A3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3F22E3" w:rsidRPr="00E426D8" w:rsidTr="00374A3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2E3" w:rsidRDefault="003F22E3" w:rsidP="00374A3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</w:tbl>
    <w:p w:rsidR="004A6A79" w:rsidRDefault="004A6A79" w:rsidP="003F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F22E3" w:rsidRPr="004A6A79" w:rsidRDefault="004A6A79" w:rsidP="003F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Donțu</w:t>
      </w:r>
      <w:proofErr w:type="spellEnd"/>
    </w:p>
    <w:p w:rsidR="003F22E3" w:rsidRDefault="00CC4256" w:rsidP="003F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p w:rsidR="004A6A79" w:rsidRDefault="004A6A79" w:rsidP="004A6A79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Natalia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Mungiu</w:t>
      </w:r>
      <w:proofErr w:type="spellEnd"/>
    </w:p>
    <w:p w:rsidR="004A6A79" w:rsidRDefault="004A6A79" w:rsidP="004A6A79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0A4471" w:rsidRDefault="000A4471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Default="00AF1A6B">
      <w:pPr>
        <w:rPr>
          <w:lang w:val="en-US"/>
        </w:rPr>
      </w:pPr>
    </w:p>
    <w:p w:rsidR="00AF1A6B" w:rsidRPr="00CC4256" w:rsidRDefault="00AF1A6B">
      <w:pPr>
        <w:rPr>
          <w:lang w:val="en-US"/>
        </w:rPr>
      </w:pPr>
    </w:p>
    <w:sectPr w:rsidR="00AF1A6B" w:rsidRPr="00CC4256" w:rsidSect="00A658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8C1"/>
    <w:multiLevelType w:val="hybridMultilevel"/>
    <w:tmpl w:val="00CCF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852"/>
    <w:multiLevelType w:val="hybridMultilevel"/>
    <w:tmpl w:val="9CACD8C2"/>
    <w:lvl w:ilvl="0" w:tplc="F6D4EF36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5B626C3"/>
    <w:multiLevelType w:val="hybridMultilevel"/>
    <w:tmpl w:val="BF0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7DEA"/>
    <w:multiLevelType w:val="hybridMultilevel"/>
    <w:tmpl w:val="0BDC5C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E24DB3"/>
    <w:multiLevelType w:val="hybridMultilevel"/>
    <w:tmpl w:val="22D6E374"/>
    <w:lvl w:ilvl="0" w:tplc="8EAC0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EB67C5"/>
    <w:multiLevelType w:val="hybridMultilevel"/>
    <w:tmpl w:val="81F4E140"/>
    <w:lvl w:ilvl="0" w:tplc="3EB8666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A0281"/>
    <w:multiLevelType w:val="hybridMultilevel"/>
    <w:tmpl w:val="4610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845A0"/>
    <w:multiLevelType w:val="hybridMultilevel"/>
    <w:tmpl w:val="AECA16A6"/>
    <w:lvl w:ilvl="0" w:tplc="AD92292A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2E3"/>
    <w:rsid w:val="00053106"/>
    <w:rsid w:val="00055709"/>
    <w:rsid w:val="000A4471"/>
    <w:rsid w:val="00197601"/>
    <w:rsid w:val="00241278"/>
    <w:rsid w:val="0027277B"/>
    <w:rsid w:val="002D087E"/>
    <w:rsid w:val="002E007A"/>
    <w:rsid w:val="003279F1"/>
    <w:rsid w:val="003F22E3"/>
    <w:rsid w:val="00464B7B"/>
    <w:rsid w:val="004A6A79"/>
    <w:rsid w:val="004D773C"/>
    <w:rsid w:val="004E551B"/>
    <w:rsid w:val="0051564A"/>
    <w:rsid w:val="0054071F"/>
    <w:rsid w:val="005413A5"/>
    <w:rsid w:val="00596621"/>
    <w:rsid w:val="005D6F33"/>
    <w:rsid w:val="005E1A68"/>
    <w:rsid w:val="0060206F"/>
    <w:rsid w:val="00633AAD"/>
    <w:rsid w:val="00676CBD"/>
    <w:rsid w:val="00684999"/>
    <w:rsid w:val="006A5C14"/>
    <w:rsid w:val="006A6DC8"/>
    <w:rsid w:val="0071614F"/>
    <w:rsid w:val="007315C4"/>
    <w:rsid w:val="007431AC"/>
    <w:rsid w:val="00763906"/>
    <w:rsid w:val="00801206"/>
    <w:rsid w:val="00840DC7"/>
    <w:rsid w:val="00866EF8"/>
    <w:rsid w:val="00917325"/>
    <w:rsid w:val="0097759C"/>
    <w:rsid w:val="009916FC"/>
    <w:rsid w:val="009B384F"/>
    <w:rsid w:val="00A00F2F"/>
    <w:rsid w:val="00A012FC"/>
    <w:rsid w:val="00AF1A6B"/>
    <w:rsid w:val="00B27CC7"/>
    <w:rsid w:val="00BB6378"/>
    <w:rsid w:val="00BE4D6A"/>
    <w:rsid w:val="00C53587"/>
    <w:rsid w:val="00CC4256"/>
    <w:rsid w:val="00D14C9A"/>
    <w:rsid w:val="00D30DFF"/>
    <w:rsid w:val="00E426D8"/>
    <w:rsid w:val="00EA1880"/>
    <w:rsid w:val="00EA55DD"/>
    <w:rsid w:val="00ED531B"/>
    <w:rsid w:val="00F8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2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F22E3"/>
  </w:style>
  <w:style w:type="table" w:styleId="a5">
    <w:name w:val="Table Grid"/>
    <w:basedOn w:val="a1"/>
    <w:uiPriority w:val="59"/>
    <w:rsid w:val="003F2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F22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F22E3"/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rsid w:val="003F22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3F22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22E3"/>
  </w:style>
  <w:style w:type="paragraph" w:customStyle="1" w:styleId="1">
    <w:name w:val="Абзац списка1"/>
    <w:basedOn w:val="a"/>
    <w:rsid w:val="005D6F33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8">
    <w:name w:val="List Paragraph"/>
    <w:basedOn w:val="a"/>
    <w:uiPriority w:val="34"/>
    <w:qFormat/>
    <w:rsid w:val="005D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34</cp:revision>
  <cp:lastPrinted>2022-01-26T06:22:00Z</cp:lastPrinted>
  <dcterms:created xsi:type="dcterms:W3CDTF">2021-11-18T07:39:00Z</dcterms:created>
  <dcterms:modified xsi:type="dcterms:W3CDTF">2022-02-16T12:52:00Z</dcterms:modified>
</cp:coreProperties>
</file>