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20" w:rsidRPr="009C7200" w:rsidRDefault="006C7C20" w:rsidP="006C7C20">
      <w:pPr>
        <w:pStyle w:val="a4"/>
        <w:jc w:val="right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9C7200">
        <w:rPr>
          <w:rFonts w:ascii="Times New Roman" w:hAnsi="Times New Roman"/>
          <w:b/>
          <w:sz w:val="28"/>
          <w:szCs w:val="28"/>
          <w:lang w:val="en-US" w:eastAsia="ro-RO"/>
        </w:rPr>
        <w:t>PROIECT</w:t>
      </w:r>
    </w:p>
    <w:p w:rsidR="006C7C20" w:rsidRPr="0081791D" w:rsidRDefault="006C7C20" w:rsidP="006C7C20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81791D">
        <w:rPr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704201632" r:id="rId6"/>
        </w:object>
      </w:r>
    </w:p>
    <w:p w:rsidR="006C7C20" w:rsidRPr="002912C4" w:rsidRDefault="006C7C20" w:rsidP="006C7C20">
      <w:pPr>
        <w:pStyle w:val="a4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912C4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6C7C20" w:rsidRPr="002912C4" w:rsidRDefault="006C7C20" w:rsidP="006C7C20">
      <w:pPr>
        <w:pStyle w:val="a4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912C4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6C7C20" w:rsidRPr="006A2996" w:rsidRDefault="006C7C20" w:rsidP="006A2996">
      <w:pPr>
        <w:pStyle w:val="a4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912C4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6C7C20" w:rsidRDefault="006C7C20" w:rsidP="006C7C20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DA5A9C">
        <w:rPr>
          <w:rFonts w:ascii="Times New Roman" w:hAnsi="Times New Roman"/>
          <w:b/>
          <w:sz w:val="28"/>
          <w:szCs w:val="28"/>
          <w:lang w:val="en-GB"/>
        </w:rPr>
        <w:t>DECIZI</w:t>
      </w:r>
      <w:r w:rsidRPr="00DA5A9C">
        <w:rPr>
          <w:rFonts w:ascii="Times New Roman" w:hAnsi="Times New Roman"/>
          <w:b/>
          <w:sz w:val="28"/>
          <w:szCs w:val="28"/>
          <w:lang w:val="ro-RO"/>
        </w:rPr>
        <w:t>E</w:t>
      </w:r>
      <w:r w:rsidRPr="00DA5A9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DA5A9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70AE5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gramEnd"/>
      <w:r w:rsidR="00F70AE5">
        <w:rPr>
          <w:rFonts w:ascii="Times New Roman" w:hAnsi="Times New Roman"/>
          <w:b/>
          <w:sz w:val="28"/>
          <w:szCs w:val="28"/>
          <w:lang w:val="en-GB"/>
        </w:rPr>
        <w:t>. 1</w:t>
      </w:r>
      <w:r w:rsidRPr="00DA5A9C">
        <w:rPr>
          <w:rFonts w:ascii="Times New Roman" w:hAnsi="Times New Roman"/>
          <w:b/>
          <w:sz w:val="28"/>
          <w:szCs w:val="28"/>
          <w:lang w:val="en-GB"/>
        </w:rPr>
        <w:t>/</w:t>
      </w:r>
      <w:r w:rsidR="00F70AE5">
        <w:rPr>
          <w:rFonts w:ascii="Times New Roman" w:hAnsi="Times New Roman"/>
          <w:b/>
          <w:sz w:val="28"/>
          <w:szCs w:val="28"/>
          <w:lang w:val="en-GB"/>
        </w:rPr>
        <w:t>__</w:t>
      </w:r>
    </w:p>
    <w:p w:rsidR="006C7C20" w:rsidRDefault="006C7C20" w:rsidP="006C7C20">
      <w:pPr>
        <w:pStyle w:val="a7"/>
        <w:spacing w:after="0"/>
        <w:jc w:val="center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9C7200">
        <w:rPr>
          <w:rFonts w:ascii="Times New Roman" w:hAnsi="Times New Roman"/>
          <w:sz w:val="28"/>
          <w:szCs w:val="28"/>
          <w:lang w:val="en-GB"/>
        </w:rPr>
        <w:t>din</w:t>
      </w:r>
      <w:proofErr w:type="gramEnd"/>
      <w:r w:rsidRPr="009C720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70AE5">
        <w:rPr>
          <w:rFonts w:ascii="Times New Roman" w:hAnsi="Times New Roman"/>
          <w:sz w:val="28"/>
          <w:szCs w:val="28"/>
          <w:lang w:val="en-GB"/>
        </w:rPr>
        <w:t>___________ 2022</w:t>
      </w:r>
    </w:p>
    <w:p w:rsidR="00B91E15" w:rsidRDefault="00B91E15" w:rsidP="006C7C20">
      <w:pPr>
        <w:pStyle w:val="a7"/>
        <w:spacing w:after="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6C7C20" w:rsidRPr="009C7200" w:rsidRDefault="006C7C20" w:rsidP="006A2996">
      <w:pPr>
        <w:pStyle w:val="a7"/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6C5CC3" w:rsidRPr="006C5CC3" w:rsidRDefault="006C5CC3" w:rsidP="006A2996">
      <w:pPr>
        <w:pStyle w:val="a4"/>
        <w:spacing w:line="360" w:lineRule="auto"/>
        <w:jc w:val="both"/>
        <w:rPr>
          <w:rFonts w:ascii="Times New Roman" w:hAnsi="Times New Roman"/>
          <w:sz w:val="28"/>
          <w:lang w:val="ro-RO"/>
        </w:rPr>
      </w:pPr>
      <w:r w:rsidRPr="006C5CC3">
        <w:rPr>
          <w:rFonts w:ascii="Times New Roman" w:hAnsi="Times New Roman"/>
          <w:sz w:val="28"/>
          <w:lang w:val="ro-RO"/>
        </w:rPr>
        <w:t xml:space="preserve">Cu privire la rezultatele inspecției financiare complexe </w:t>
      </w:r>
    </w:p>
    <w:p w:rsidR="006C5CC3" w:rsidRPr="006C5CC3" w:rsidRDefault="006C5CC3" w:rsidP="006A2996">
      <w:pPr>
        <w:pStyle w:val="a4"/>
        <w:spacing w:line="360" w:lineRule="auto"/>
        <w:jc w:val="both"/>
        <w:rPr>
          <w:rFonts w:ascii="Times New Roman" w:hAnsi="Times New Roman"/>
          <w:sz w:val="28"/>
          <w:lang w:val="ro-RO"/>
        </w:rPr>
      </w:pPr>
      <w:r w:rsidRPr="006C5CC3">
        <w:rPr>
          <w:rFonts w:ascii="Times New Roman" w:hAnsi="Times New Roman"/>
          <w:sz w:val="28"/>
          <w:lang w:val="ro-RO"/>
        </w:rPr>
        <w:t xml:space="preserve">la Î.M. ”Salubrizare și amenajare Căușeni”  în baza </w:t>
      </w:r>
    </w:p>
    <w:p w:rsidR="006A2996" w:rsidRPr="006C5CC3" w:rsidRDefault="006C5CC3" w:rsidP="006A2996">
      <w:pPr>
        <w:pStyle w:val="a4"/>
        <w:spacing w:line="360" w:lineRule="auto"/>
        <w:jc w:val="both"/>
        <w:rPr>
          <w:rFonts w:ascii="Times New Roman" w:hAnsi="Times New Roman"/>
          <w:sz w:val="28"/>
          <w:lang w:val="ro-RO"/>
        </w:rPr>
      </w:pPr>
      <w:r w:rsidRPr="006C5CC3">
        <w:rPr>
          <w:rFonts w:ascii="Times New Roman" w:hAnsi="Times New Roman"/>
          <w:sz w:val="28"/>
          <w:lang w:val="ro-RO"/>
        </w:rPr>
        <w:t>prescripției cu nr.25-08-10/1674 din 30.11.2021</w:t>
      </w:r>
    </w:p>
    <w:p w:rsidR="006C5CC3" w:rsidRDefault="006C5CC3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146" w:rsidRDefault="00FC1146" w:rsidP="006A29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Prescripției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iregularităț</w:t>
      </w:r>
      <w:proofErr w:type="gramStart"/>
      <w:r w:rsidR="00F70AE5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proofErr w:type="gram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complexela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</w:t>
      </w:r>
      <w:r w:rsidR="00F70AE5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70AE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Moldova nr. 25 – 08 – 10/1674 din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70AE5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70AE5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F70AE5">
        <w:rPr>
          <w:rFonts w:ascii="Times New Roman" w:hAnsi="Times New Roman" w:cs="Times New Roman"/>
          <w:sz w:val="28"/>
          <w:szCs w:val="28"/>
          <w:lang w:val="en-US"/>
        </w:rPr>
        <w:t xml:space="preserve">  2021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91E15" w:rsidRPr="00B91E15" w:rsidRDefault="00B91E15" w:rsidP="00B91E1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nr.10/7 din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22.12.2021 ,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91E15">
        <w:rPr>
          <w:rFonts w:ascii="Times New Roman" w:hAnsi="Times New Roman" w:cs="Times New Roman"/>
          <w:sz w:val="28"/>
          <w:lang w:val="ro-RO"/>
        </w:rPr>
        <w:t xml:space="preserve"> </w:t>
      </w:r>
      <w:r w:rsidRPr="00506975">
        <w:rPr>
          <w:rFonts w:ascii="Times New Roman" w:hAnsi="Times New Roman" w:cs="Times New Roman"/>
          <w:sz w:val="28"/>
          <w:lang w:val="ro-RO"/>
        </w:rPr>
        <w:t>Cu privire la rezultatele inspecției financiare complexe la Î.M. ”Salubrizare și amenajare Căușeni” în baza prescripției cu nr.25-08-10/1674 din 30.11.2021</w:t>
      </w:r>
      <w:r>
        <w:rPr>
          <w:rFonts w:ascii="Times New Roman" w:hAnsi="Times New Roman" w:cs="Times New Roman"/>
          <w:sz w:val="28"/>
          <w:lang w:val="ro-RO"/>
        </w:rPr>
        <w:t>,</w:t>
      </w:r>
    </w:p>
    <w:p w:rsidR="007228B8" w:rsidRDefault="00FC1146" w:rsidP="00B91E1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z),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91E15" w:rsidRDefault="00B91E15" w:rsidP="00B91E1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28B8" w:rsidRDefault="007228B8" w:rsidP="006A29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25 – 08 – 10/1674 din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2021.</w:t>
      </w:r>
    </w:p>
    <w:p w:rsidR="00F758D8" w:rsidRDefault="00DB445E" w:rsidP="006A29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Se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recemonadă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comisiei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proofErr w:type="gram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cenzori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</w:t>
      </w:r>
      <w:proofErr w:type="gram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prezenta</w:t>
      </w:r>
      <w:proofErr w:type="spell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ședința</w:t>
      </w:r>
      <w:proofErr w:type="spell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imediat</w:t>
      </w:r>
      <w:proofErr w:type="spell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următoare</w:t>
      </w:r>
      <w:proofErr w:type="spell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orășenesc</w:t>
      </w:r>
      <w:proofErr w:type="spell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raport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 w:rsidR="00722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lichidarea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deficienților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sistemului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management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financiar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orientate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spre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asigurarea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desfășurării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organizate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eficiente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a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administrării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patrimoniului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entității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inclusive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asigurarea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strict a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integrității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activelor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precum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siguranței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optimizării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ctivelor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pasivelor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conform art. 13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41 din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</w:t>
      </w:r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contabilității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nr.113-Xvi din 27.04.2007 </w:t>
      </w:r>
      <w:proofErr w:type="spellStart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7B79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art.18 </w:t>
      </w:r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Leagea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contabilității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raportării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financiare</w:t>
      </w:r>
      <w:proofErr w:type="spellEnd"/>
      <w:r w:rsidR="00F7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nr.287 din 15.12.2017 </w:t>
      </w:r>
    </w:p>
    <w:p w:rsidR="007228B8" w:rsidRDefault="006A2996" w:rsidP="006A29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228B8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7228B8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="00722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F758D8"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 w:rsidR="00F758D8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F758D8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F7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7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F7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758D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228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E2AD3" w:rsidRDefault="007228B8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 </w:t>
      </w:r>
      <w:proofErr w:type="spellStart"/>
      <w:r w:rsidR="00F758D8">
        <w:rPr>
          <w:rFonts w:ascii="Times New Roman" w:hAnsi="Times New Roman" w:cs="Times New Roman"/>
          <w:sz w:val="28"/>
          <w:szCs w:val="28"/>
          <w:lang w:val="en-US"/>
        </w:rPr>
        <w:t>informarea</w:t>
      </w:r>
      <w:proofErr w:type="spellEnd"/>
      <w:r w:rsidR="00F7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58D8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="00F7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1E2AD3">
        <w:rPr>
          <w:rFonts w:ascii="Times New Roman" w:hAnsi="Times New Roman" w:cs="Times New Roman"/>
          <w:sz w:val="28"/>
          <w:szCs w:val="28"/>
          <w:lang w:val="en-US"/>
        </w:rPr>
        <w:t>comportamentul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AD3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1E2AD3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1E2AD3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AD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AD3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A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1E2AD3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AD3">
        <w:rPr>
          <w:rFonts w:ascii="Times New Roman" w:hAnsi="Times New Roman" w:cs="Times New Roman"/>
          <w:sz w:val="28"/>
          <w:szCs w:val="28"/>
          <w:lang w:val="en-US"/>
        </w:rPr>
        <w:t>iregularitățile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AD3"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 w:rsidR="001E2A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8D8" w:rsidRDefault="001E2AD3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strictețe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angajații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implicați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managmentul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indicate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2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1E2AD3" w:rsidRDefault="001E2AD3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implemintarea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control intern,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art.18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contabilității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raportării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nr.287 din 15.12.2017 orientate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organizte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eficiente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transparenței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corectitudinii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documentării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faptelor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reflectării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1E2AD3" w:rsidRDefault="001E2AD3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măsurilor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restituirea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neîntemiate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sumă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65,4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lei (35,6+16,1+1,7+12,0)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recuperarea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lipsei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sumă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98,7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lei.</w:t>
      </w:r>
    </w:p>
    <w:p w:rsidR="008A51D3" w:rsidRDefault="008A51D3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neadmiterii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neregulamentare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51D3" w:rsidRDefault="008A51D3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îmbunătățirea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managmentului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restabilirea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corectă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situațiilor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concordanță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A68">
        <w:rPr>
          <w:rFonts w:ascii="Times New Roman" w:hAnsi="Times New Roman" w:cs="Times New Roman"/>
          <w:sz w:val="28"/>
          <w:szCs w:val="28"/>
          <w:lang w:val="en-US"/>
        </w:rPr>
        <w:t>regulamentar</w:t>
      </w:r>
      <w:proofErr w:type="spellEnd"/>
      <w:r w:rsidR="00606A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228B8" w:rsidRPr="001E3E81" w:rsidRDefault="007228B8" w:rsidP="006A29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strict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complexela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B445E" w:rsidRP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Moldova nr. 25 – 08 – 10/1674 din 30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2021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228B8" w:rsidRPr="007B193B" w:rsidRDefault="006A2996" w:rsidP="006A29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228B8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22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8B8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228B8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8B8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228B8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7228B8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7228B8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28B8" w:rsidRDefault="007228B8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28B8" w:rsidRDefault="007228B8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B445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B445E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445E" w:rsidRDefault="00DB445E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DB445E" w:rsidRPr="00AA300E" w:rsidRDefault="00DB445E" w:rsidP="006A299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cenzori</w:t>
      </w:r>
      <w:proofErr w:type="spellEnd"/>
      <w:r w:rsidRPr="00DB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 </w:t>
      </w:r>
    </w:p>
    <w:p w:rsidR="00FC1146" w:rsidRDefault="007228B8" w:rsidP="00FC11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91E15" w:rsidRDefault="00B91E15" w:rsidP="00FC11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2996" w:rsidRPr="000E0342" w:rsidRDefault="006A2996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SECRETARUL CONSILIULUI                                                                              </w:t>
      </w:r>
    </w:p>
    <w:p w:rsidR="006A2996" w:rsidRPr="000E0342" w:rsidRDefault="006A2996" w:rsidP="006A2996">
      <w:pPr>
        <w:pStyle w:val="a4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</w:p>
    <w:p w:rsidR="006A2996" w:rsidRDefault="006A2996" w:rsidP="006A2996">
      <w:pPr>
        <w:pStyle w:val="a4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Ala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Chiselița</w:t>
      </w:r>
      <w:proofErr w:type="spellEnd"/>
    </w:p>
    <w:p w:rsidR="00B91E15" w:rsidRDefault="00B91E15" w:rsidP="006A2996">
      <w:pPr>
        <w:pStyle w:val="a4"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6A2996" w:rsidRPr="000E0342" w:rsidRDefault="006A2996" w:rsidP="006A2996">
      <w:pPr>
        <w:pStyle w:val="a4"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6A2996" w:rsidRPr="000E0342" w:rsidRDefault="006A2996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6A2996" w:rsidRPr="000E0342" w:rsidRDefault="006A2996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6A2996" w:rsidRDefault="006A2996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Chiselița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Pr="000E0342" w:rsidRDefault="00706C11" w:rsidP="006A2996">
      <w:pPr>
        <w:pStyle w:val="a4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06C11" w:rsidRPr="00A02549" w:rsidRDefault="00706C11" w:rsidP="00706C11">
      <w:pPr>
        <w:pStyle w:val="a7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2549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6C5CC3" w:rsidRPr="006C5CC3" w:rsidRDefault="00706C11" w:rsidP="006C5CC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lang w:val="ro-RO"/>
        </w:rPr>
      </w:pPr>
      <w:proofErr w:type="gramStart"/>
      <w:r w:rsidRPr="006C5CC3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6C5CC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C5CC3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6C5CC3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6C5CC3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6C5CC3"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 w:rsidR="006C5CC3" w:rsidRPr="006C5CC3">
        <w:rPr>
          <w:rFonts w:ascii="Times New Roman" w:hAnsi="Times New Roman"/>
          <w:b/>
          <w:sz w:val="28"/>
          <w:lang w:val="ro-RO"/>
        </w:rPr>
        <w:t>Cu privire la rezultatele inspecției financiare complexe</w:t>
      </w:r>
    </w:p>
    <w:p w:rsidR="006C5CC3" w:rsidRPr="006C5CC3" w:rsidRDefault="006C5CC3" w:rsidP="006C5CC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lang w:val="ro-RO"/>
        </w:rPr>
      </w:pPr>
      <w:r w:rsidRPr="006C5CC3">
        <w:rPr>
          <w:rFonts w:ascii="Times New Roman" w:hAnsi="Times New Roman"/>
          <w:b/>
          <w:sz w:val="28"/>
          <w:lang w:val="ro-RO"/>
        </w:rPr>
        <w:t>la Î.M. ”Salubrizare și amenajare Căușeni”  în baza</w:t>
      </w:r>
    </w:p>
    <w:p w:rsidR="00706C11" w:rsidRPr="006C5CC3" w:rsidRDefault="006C5CC3" w:rsidP="006C5CC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lang w:val="ro-RO"/>
        </w:rPr>
      </w:pPr>
      <w:r w:rsidRPr="006C5CC3">
        <w:rPr>
          <w:rFonts w:ascii="Times New Roman" w:hAnsi="Times New Roman"/>
          <w:b/>
          <w:sz w:val="28"/>
          <w:lang w:val="ro-RO"/>
        </w:rPr>
        <w:t>prescripției cu nr.25-08-10/1674 din 30.11.2021</w:t>
      </w:r>
      <w:r w:rsidR="00706C11" w:rsidRPr="006C5CC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tbl>
      <w:tblPr>
        <w:tblStyle w:val="a9"/>
        <w:tblW w:w="9747" w:type="dxa"/>
        <w:tblLook w:val="04A0"/>
      </w:tblPr>
      <w:tblGrid>
        <w:gridCol w:w="9747"/>
      </w:tblGrid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Default="00706C11" w:rsidP="004E03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Pr="00AF49FA" w:rsidRDefault="00706C11" w:rsidP="004E03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Default="00706C11" w:rsidP="004E032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706C11" w:rsidRPr="00706C11" w:rsidTr="004E032A">
        <w:trPr>
          <w:trHeight w:val="416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11" w:rsidRPr="00634AFD" w:rsidRDefault="00706C11" w:rsidP="004E032A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la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bază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Prescripției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lichidarea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iregularităților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constatate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inspectării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complexela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Î.M. ”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Salubrizare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întocmită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Inspecția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Financiară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subordinea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Finanțelor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25 – 08 – 10/1674 din 30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noiembrie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2021</w:t>
            </w:r>
          </w:p>
        </w:tc>
      </w:tr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Pr="00F04375" w:rsidRDefault="00706C11" w:rsidP="004E032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Pr="00F04375" w:rsidRDefault="00706C11" w:rsidP="004E032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706C11" w:rsidRPr="00706C11" w:rsidTr="004E032A">
        <w:trPr>
          <w:trHeight w:val="809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11" w:rsidRPr="00F04375" w:rsidRDefault="00706C11" w:rsidP="004E032A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Fundamentarea economico-financiară</w:t>
            </w:r>
          </w:p>
          <w:p w:rsidR="00706C11" w:rsidRPr="00F04375" w:rsidRDefault="00706C11" w:rsidP="004E03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Nu impune alocare sau cheltuieli de resurse financiare.</w:t>
            </w:r>
          </w:p>
        </w:tc>
      </w:tr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Pr="00F04375" w:rsidRDefault="00706C11" w:rsidP="004E032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Modul de încorporare a actului în cadrul normativ în vigoare</w:t>
            </w:r>
          </w:p>
        </w:tc>
      </w:tr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C11" w:rsidRPr="00362F3F" w:rsidRDefault="00706C11" w:rsidP="006C5CC3">
            <w:pPr>
              <w:pStyle w:val="a4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elaborată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Prescripției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lichidarea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iregularităților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constatate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inspectării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complexela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Î.M. ”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Salubrizare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întocmită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Inspecția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Financiară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subordinea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Finanțelor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25 – 08 – 10/1674 din 30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noiembrie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2021,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nr.10/7 din 22.12.2021 ,,</w:t>
            </w:r>
            <w:r w:rsidR="006C5CC3" w:rsidRPr="00B91E15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="006C5CC3" w:rsidRPr="00506975">
              <w:rPr>
                <w:rFonts w:ascii="Times New Roman" w:hAnsi="Times New Roman" w:cs="Times New Roman"/>
                <w:sz w:val="28"/>
                <w:lang w:val="ro-RO"/>
              </w:rPr>
              <w:t>Cu privire la rezultatele inspecției financiare complexe la Î.M. ”Salubrizare și amenajare Căușeni” în baza prescripției cu nr.25-08-10/1674 din 30.11.2021</w:t>
            </w:r>
            <w:r w:rsidR="006C5CC3">
              <w:rPr>
                <w:rFonts w:ascii="Times New Roman" w:hAnsi="Times New Roman" w:cs="Times New Roman"/>
                <w:sz w:val="28"/>
                <w:lang w:val="ro-RO"/>
              </w:rPr>
              <w:t>,</w:t>
            </w:r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(2), lit. z), 20 (5) din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="006C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Pr="00F04375" w:rsidRDefault="00706C11" w:rsidP="004E032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706C11" w:rsidRPr="00362F3F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Pr="00F04375" w:rsidRDefault="00706C11" w:rsidP="004E03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Oficiului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RM”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Pr="00F04375" w:rsidRDefault="00706C11" w:rsidP="004E032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Constatările expertizei anticorupție</w:t>
            </w:r>
          </w:p>
        </w:tc>
      </w:tr>
      <w:tr w:rsidR="00706C11" w:rsidRPr="00706C11" w:rsidTr="004E032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11" w:rsidRPr="00F04375" w:rsidRDefault="00706C11" w:rsidP="004E032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xpertiza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anticorupţie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fost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efectuată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autor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  </w:t>
            </w:r>
          </w:p>
        </w:tc>
      </w:tr>
    </w:tbl>
    <w:p w:rsidR="00706C11" w:rsidRDefault="00706C11" w:rsidP="00706C1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556FB" w:rsidRPr="006C5CC3" w:rsidRDefault="00706C11" w:rsidP="006C5CC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Anatolie </w:t>
      </w:r>
      <w:r w:rsidRPr="003F7A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Donțu</w:t>
      </w:r>
    </w:p>
    <w:sectPr w:rsidR="00C556FB" w:rsidRPr="006C5CC3" w:rsidSect="00B91E15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46"/>
    <w:rsid w:val="000232AE"/>
    <w:rsid w:val="00056147"/>
    <w:rsid w:val="00091DA6"/>
    <w:rsid w:val="000C7B21"/>
    <w:rsid w:val="001E2AD3"/>
    <w:rsid w:val="002C529C"/>
    <w:rsid w:val="0033341A"/>
    <w:rsid w:val="004F2D60"/>
    <w:rsid w:val="0054088E"/>
    <w:rsid w:val="00606A68"/>
    <w:rsid w:val="006A2996"/>
    <w:rsid w:val="006C5CC3"/>
    <w:rsid w:val="006C7C20"/>
    <w:rsid w:val="00706C11"/>
    <w:rsid w:val="007228B8"/>
    <w:rsid w:val="007B79DC"/>
    <w:rsid w:val="007D390C"/>
    <w:rsid w:val="007D3BD5"/>
    <w:rsid w:val="008A51D3"/>
    <w:rsid w:val="009B4EA6"/>
    <w:rsid w:val="009E2237"/>
    <w:rsid w:val="00AB23EA"/>
    <w:rsid w:val="00B91E15"/>
    <w:rsid w:val="00C556FB"/>
    <w:rsid w:val="00CE3013"/>
    <w:rsid w:val="00DB445E"/>
    <w:rsid w:val="00F70AE5"/>
    <w:rsid w:val="00F758D8"/>
    <w:rsid w:val="00F9147A"/>
    <w:rsid w:val="00F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1146"/>
  </w:style>
  <w:style w:type="paragraph" w:styleId="a4">
    <w:name w:val="No Spacing"/>
    <w:link w:val="a3"/>
    <w:uiPriority w:val="1"/>
    <w:qFormat/>
    <w:rsid w:val="00FC11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4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unhideWhenUsed/>
    <w:rsid w:val="006C7C20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7C20"/>
  </w:style>
  <w:style w:type="character" w:customStyle="1" w:styleId="1">
    <w:name w:val="Основной текст Знак1"/>
    <w:basedOn w:val="a0"/>
    <w:link w:val="a7"/>
    <w:locked/>
    <w:rsid w:val="006C7C20"/>
    <w:rPr>
      <w:sz w:val="24"/>
      <w:szCs w:val="24"/>
    </w:rPr>
  </w:style>
  <w:style w:type="table" w:styleId="a9">
    <w:name w:val="Table Grid"/>
    <w:basedOn w:val="a1"/>
    <w:uiPriority w:val="59"/>
    <w:rsid w:val="00706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2022-01-20T11:02:00Z</cp:lastPrinted>
  <dcterms:created xsi:type="dcterms:W3CDTF">2020-09-17T08:30:00Z</dcterms:created>
  <dcterms:modified xsi:type="dcterms:W3CDTF">2022-01-20T14:33:00Z</dcterms:modified>
</cp:coreProperties>
</file>