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18" w:rsidRDefault="00FA4718" w:rsidP="00FA4718">
      <w:pPr>
        <w:spacing w:after="0" w:line="240" w:lineRule="auto"/>
        <w:ind w:left="284" w:right="-472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PROIECT                                                              </w:t>
      </w:r>
    </w:p>
    <w:p w:rsidR="00FA4718" w:rsidRDefault="00FA4718" w:rsidP="00FA4718">
      <w:pPr>
        <w:spacing w:after="0" w:line="240" w:lineRule="auto"/>
        <w:ind w:left="284" w:right="-47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26EA">
        <w:rPr>
          <w:rFonts w:ascii="Times New Roman" w:eastAsia="Times New Roman" w:hAnsi="Times New Roman" w:cs="Times New Roman"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0.3pt" o:ole="" fillcolor="window">
            <v:imagedata r:id="rId5" o:title=""/>
          </v:shape>
          <o:OLEObject Type="Embed" ProgID="Word.Picture.8" ShapeID="_x0000_i1025" DrawAspect="Content" ObjectID="_1747056159" r:id="rId6"/>
        </w:object>
      </w:r>
    </w:p>
    <w:p w:rsidR="00FA4718" w:rsidRDefault="00FA4718" w:rsidP="00FA4718">
      <w:pPr>
        <w:pStyle w:val="a4"/>
        <w:ind w:left="284" w:right="-4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REPUBLICA MOLDOVA</w:t>
      </w:r>
    </w:p>
    <w:p w:rsidR="00FA4718" w:rsidRDefault="00FA4718" w:rsidP="00FA4718">
      <w:pPr>
        <w:pStyle w:val="a4"/>
        <w:ind w:left="284" w:right="-4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RAIONUL CĂUŞENI                          </w:t>
      </w:r>
    </w:p>
    <w:p w:rsidR="00FA4718" w:rsidRDefault="00FA4718" w:rsidP="00FA4718">
      <w:pPr>
        <w:pStyle w:val="a4"/>
        <w:ind w:left="284" w:right="-4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CONSILIUL ORĂŞENESC CĂUŞENI </w:t>
      </w:r>
    </w:p>
    <w:p w:rsidR="00FA4718" w:rsidRDefault="00FA4718" w:rsidP="00FA4718">
      <w:pPr>
        <w:pStyle w:val="a4"/>
        <w:ind w:left="284" w:right="-472"/>
        <w:jc w:val="center"/>
        <w:rPr>
          <w:rFonts w:ascii="Times New Roman" w:hAnsi="Times New Roman"/>
          <w:b/>
          <w:sz w:val="28"/>
          <w:szCs w:val="28"/>
        </w:rPr>
      </w:pPr>
    </w:p>
    <w:p w:rsidR="00FA4718" w:rsidRDefault="00FA4718" w:rsidP="00FA4718">
      <w:pPr>
        <w:spacing w:after="0" w:line="240" w:lineRule="auto"/>
        <w:ind w:left="284" w:right="-472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DECIZIA nr. 7/_____</w:t>
      </w:r>
    </w:p>
    <w:p w:rsidR="00FA4718" w:rsidRDefault="00FA4718" w:rsidP="00FA4718">
      <w:pPr>
        <w:spacing w:after="0" w:line="240" w:lineRule="auto"/>
        <w:ind w:left="284" w:right="-472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din ____________________ 2023</w:t>
      </w:r>
    </w:p>
    <w:p w:rsidR="00FA4718" w:rsidRDefault="00FA4718" w:rsidP="00FA4718">
      <w:pPr>
        <w:spacing w:after="0" w:line="240" w:lineRule="auto"/>
        <w:ind w:left="284" w:right="-472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A4718" w:rsidRDefault="00FA4718" w:rsidP="00FA4718">
      <w:pPr>
        <w:spacing w:after="0" w:line="240" w:lineRule="auto"/>
        <w:ind w:left="284" w:right="-472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A4718" w:rsidRDefault="00FA4718" w:rsidP="00FA4718">
      <w:pPr>
        <w:spacing w:after="0" w:line="240" w:lineRule="auto"/>
        <w:ind w:left="284" w:right="-472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Cu privire la înregistrarea dreptului de</w:t>
      </w:r>
    </w:p>
    <w:p w:rsidR="00FA4718" w:rsidRDefault="00FA4718" w:rsidP="00FA4718">
      <w:pPr>
        <w:spacing w:after="0" w:line="240" w:lineRule="auto"/>
        <w:ind w:left="284" w:right="-472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proprietate provizorie asupra construcțiilor </w:t>
      </w:r>
    </w:p>
    <w:p w:rsidR="00FA4718" w:rsidRDefault="00FA4718" w:rsidP="00FA4718">
      <w:pPr>
        <w:spacing w:after="0" w:line="240" w:lineRule="auto"/>
        <w:ind w:left="284" w:right="-472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transmise sau care urmau  în contul cotelor părți </w:t>
      </w:r>
    </w:p>
    <w:p w:rsidR="00FA4718" w:rsidRDefault="00FA4718" w:rsidP="00FA4718">
      <w:pPr>
        <w:spacing w:after="0" w:line="240" w:lineRule="auto"/>
        <w:ind w:left="284" w:right="-472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valorice din patrimoniul fostelor întreprinderi agricole.</w:t>
      </w:r>
    </w:p>
    <w:p w:rsidR="00FA4718" w:rsidRDefault="00FA4718" w:rsidP="00FA4718">
      <w:pPr>
        <w:spacing w:after="0" w:line="240" w:lineRule="auto"/>
        <w:ind w:left="284" w:right="-472"/>
        <w:rPr>
          <w:rFonts w:ascii="Times New Roman" w:hAnsi="Times New Roman" w:cs="Times New Roman"/>
          <w:sz w:val="28"/>
          <w:szCs w:val="28"/>
          <w:lang w:val="ro-RO"/>
        </w:rPr>
      </w:pPr>
    </w:p>
    <w:p w:rsidR="00FA4718" w:rsidRDefault="00FA4718" w:rsidP="00FA4718">
      <w:pPr>
        <w:spacing w:after="0"/>
        <w:ind w:left="284" w:right="-472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inventariere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transmise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transmise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părți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valorice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patrimonial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fostelor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agricole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nr. 799 din 23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noiembrie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2022,</w:t>
      </w:r>
    </w:p>
    <w:p w:rsidR="00FA4718" w:rsidRDefault="00FA4718" w:rsidP="00FA4718">
      <w:pPr>
        <w:spacing w:after="0"/>
        <w:ind w:left="284" w:right="-472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art. 4 (2), (3), lit. b), 5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cadastrului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nr. 1543-XIII din 25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februarie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1998, </w:t>
      </w:r>
    </w:p>
    <w:p w:rsidR="00FA4718" w:rsidRDefault="00FA4718" w:rsidP="00FA4718">
      <w:pPr>
        <w:spacing w:after="0"/>
        <w:ind w:left="284" w:right="-47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(1), (2), lit.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b), d), (3), 20 (5)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administraţia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nr. 436-XVI din 28.12.2006,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Căuşeni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DECIDE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FA4718" w:rsidRDefault="00FA4718" w:rsidP="00FA4718">
      <w:pPr>
        <w:spacing w:after="0"/>
        <w:ind w:left="284" w:right="-47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A4718" w:rsidRDefault="00FA4718" w:rsidP="00FA4718">
      <w:pPr>
        <w:spacing w:after="0"/>
        <w:ind w:left="284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1. A aproba Lista bunurilor transmise sau care urmau a fi transmise în contul cotelor părți valorice din patrimoniul fostelor întreprinderi agricole, care devin proprietatea UAT or. Căușeni, conform anexei nr. 1, parte integrandă a prezentei decizii.</w:t>
      </w:r>
    </w:p>
    <w:p w:rsidR="00FA4718" w:rsidRDefault="00FA4718" w:rsidP="00FA4718">
      <w:pPr>
        <w:spacing w:after="0"/>
        <w:ind w:left="284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2. Se aprobă Actul de constatare din 10 martie 2023 privind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completarea certificatelor de proprietate privată ce confirmă dreptul asupra cotelor-părți valorice din patrimoniul foste Întreprinderi Agricole CAP ”Obrii”,  parte integrantă a </w:t>
      </w:r>
      <w:r>
        <w:rPr>
          <w:rFonts w:ascii="Times New Roman" w:hAnsi="Times New Roman"/>
          <w:sz w:val="28"/>
          <w:szCs w:val="28"/>
          <w:lang w:val="ro-RO"/>
        </w:rPr>
        <w:t>prezentei decizii.</w:t>
      </w:r>
    </w:p>
    <w:p w:rsidR="00FA4718" w:rsidRDefault="00FA4718" w:rsidP="00FA4718">
      <w:pPr>
        <w:spacing w:after="0"/>
        <w:ind w:left="284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3. A înregistra în Registrul Bunurilor Imobile, ținut de Serviciul Cadastral Teritorial Căușeni, dreptul de proprietate provizorie asupra construcțiilor  transmise sau care urmau a fi  în contul cotelor părți valorice din patrimoniul fostelor întreprinderi agricole după UAT or. Căușeni, conform anexei nr. 2, parte integrantă a prezentei decizii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A4718" w:rsidRDefault="00FA4718" w:rsidP="00FA4718">
      <w:pPr>
        <w:ind w:left="284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4.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asigura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rea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înregistrării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drepturilor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provizorie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construcțiilor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Serviciul Cadastral Teritorial Căușeni, I.P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. ”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>Agenția Servicii Publice”, Departamentul Cadastru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  </w:t>
      </w:r>
    </w:p>
    <w:p w:rsidR="00FA4718" w:rsidRDefault="00FA4718" w:rsidP="00FA4718">
      <w:pPr>
        <w:spacing w:after="0"/>
        <w:ind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4718" w:rsidRDefault="00FA4718" w:rsidP="00FA4718">
      <w:pPr>
        <w:spacing w:after="0"/>
        <w:ind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5.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19, 164 (1), 165 (1), 166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Meșterul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</w:p>
    <w:p w:rsidR="00FA4718" w:rsidRDefault="00FA4718" w:rsidP="00FA4718">
      <w:pPr>
        <w:pStyle w:val="a8"/>
        <w:ind w:left="0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FA4718" w:rsidRDefault="00FA4718" w:rsidP="00FA4718">
      <w:pPr>
        <w:spacing w:after="0"/>
        <w:ind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6. Prezenta Decizie se comunică:</w:t>
      </w:r>
    </w:p>
    <w:p w:rsidR="00FA4718" w:rsidRDefault="00FA4718" w:rsidP="00FA4718">
      <w:pPr>
        <w:spacing w:after="0"/>
        <w:ind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-  D-lui Anatolie Donțu, primarul orașului Căușeni;</w:t>
      </w:r>
    </w:p>
    <w:p w:rsidR="00FA4718" w:rsidRDefault="00FA4718" w:rsidP="00FA4718">
      <w:pPr>
        <w:spacing w:after="0"/>
        <w:ind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- Instituției Publică ”Agenția Servicii Publice”, Serviciul Cadastral Teritorial Căușeni;</w:t>
      </w:r>
    </w:p>
    <w:p w:rsidR="00FA4718" w:rsidRDefault="00FA4718" w:rsidP="00FA4718">
      <w:pPr>
        <w:spacing w:after="0"/>
        <w:ind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 aduce la cunoștință publică prin intermediul plasării pe pagina web a primăriei or.Căușeni și includerii în Registrul de Stat 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actelor locale. </w:t>
      </w:r>
    </w:p>
    <w:p w:rsidR="00FA4718" w:rsidRDefault="00FA4718" w:rsidP="00FA4718">
      <w:pPr>
        <w:spacing w:after="0"/>
        <w:ind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A4718" w:rsidRDefault="00FA4718" w:rsidP="00FA4718">
      <w:pPr>
        <w:spacing w:after="0" w:line="240" w:lineRule="auto"/>
        <w:ind w:right="-33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A4718" w:rsidRDefault="00FA4718" w:rsidP="00FA4718">
      <w:pPr>
        <w:pStyle w:val="a7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                        SECRETARUL CONSILIULUI                                                                              </w:t>
      </w:r>
    </w:p>
    <w:p w:rsidR="00FA4718" w:rsidRDefault="00FA4718" w:rsidP="00FA4718">
      <w:pPr>
        <w:pStyle w:val="a7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                                        ORĂȘENESC  </w:t>
      </w:r>
    </w:p>
    <w:p w:rsidR="00FA4718" w:rsidRDefault="00FA4718" w:rsidP="00FA4718">
      <w:pPr>
        <w:pStyle w:val="a7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FA4718" w:rsidRDefault="00FA4718" w:rsidP="00FA4718">
      <w:pPr>
        <w:spacing w:after="0" w:line="240" w:lineRule="auto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4718" w:rsidRDefault="00FA4718" w:rsidP="00FA4718">
      <w:pPr>
        <w:spacing w:after="0" w:line="240" w:lineRule="auto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4718" w:rsidRDefault="00FA4718" w:rsidP="00FA4718">
      <w:pPr>
        <w:spacing w:after="0" w:line="240" w:lineRule="auto"/>
        <w:ind w:right="-330"/>
        <w:rPr>
          <w:rFonts w:ascii="Times New Roman" w:hAnsi="Times New Roman" w:cs="Times New Roman"/>
          <w:sz w:val="28"/>
          <w:szCs w:val="28"/>
          <w:lang w:val="ro-RO"/>
        </w:rPr>
      </w:pPr>
    </w:p>
    <w:p w:rsidR="00FA4718" w:rsidRDefault="00FA4718" w:rsidP="00FA4718">
      <w:pPr>
        <w:pStyle w:val="2"/>
        <w:spacing w:after="0" w:line="240" w:lineRule="auto"/>
        <w:ind w:right="-330"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</w:p>
    <w:p w:rsidR="00FA4718" w:rsidRDefault="00FA4718" w:rsidP="00FA4718">
      <w:pPr>
        <w:pStyle w:val="2"/>
        <w:spacing w:after="0" w:line="240" w:lineRule="auto"/>
        <w:ind w:right="-330" w:firstLine="851"/>
        <w:rPr>
          <w:rFonts w:ascii="Times New Roman" w:hAnsi="Times New Roman"/>
          <w:sz w:val="28"/>
          <w:szCs w:val="28"/>
          <w:lang w:val="en-US"/>
        </w:rPr>
      </w:pPr>
    </w:p>
    <w:p w:rsidR="00FA4718" w:rsidRDefault="00FA4718" w:rsidP="00FA4718">
      <w:pPr>
        <w:pStyle w:val="2"/>
        <w:spacing w:after="0" w:line="240" w:lineRule="auto"/>
        <w:ind w:right="-330" w:firstLine="85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Specialist principal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Valentina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Gîrjeu</w:t>
      </w:r>
      <w:proofErr w:type="spellEnd"/>
    </w:p>
    <w:p w:rsidR="00FA4718" w:rsidRDefault="00FA4718" w:rsidP="00FA4718">
      <w:pPr>
        <w:pStyle w:val="2"/>
        <w:spacing w:after="0" w:line="240" w:lineRule="auto"/>
        <w:ind w:right="-330" w:firstLine="851"/>
        <w:rPr>
          <w:rFonts w:ascii="Times New Roman" w:hAnsi="Times New Roman"/>
          <w:sz w:val="28"/>
          <w:szCs w:val="28"/>
          <w:lang w:val="en-US"/>
        </w:rPr>
      </w:pPr>
    </w:p>
    <w:p w:rsidR="00FA4718" w:rsidRDefault="00FA4718" w:rsidP="00FA4718">
      <w:pPr>
        <w:pStyle w:val="2"/>
        <w:spacing w:after="0" w:line="240" w:lineRule="auto"/>
        <w:ind w:right="-330"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Secretarul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A4718" w:rsidRDefault="00FA4718" w:rsidP="00FA4718">
      <w:pPr>
        <w:pStyle w:val="2"/>
        <w:spacing w:after="0" w:line="240" w:lineRule="auto"/>
        <w:ind w:right="-330"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orăș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Ala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Cucoș-Chisalița</w:t>
      </w:r>
      <w:proofErr w:type="spellEnd"/>
    </w:p>
    <w:p w:rsidR="00FA4718" w:rsidRDefault="00FA4718" w:rsidP="00FA4718">
      <w:pPr>
        <w:pStyle w:val="2"/>
        <w:spacing w:after="0" w:line="240" w:lineRule="auto"/>
        <w:ind w:right="-330" w:firstLine="851"/>
        <w:rPr>
          <w:rFonts w:ascii="Times New Roman" w:hAnsi="Times New Roman"/>
          <w:sz w:val="28"/>
          <w:szCs w:val="28"/>
          <w:lang w:val="en-US"/>
        </w:rPr>
      </w:pPr>
    </w:p>
    <w:p w:rsidR="00FA4718" w:rsidRDefault="00FA4718" w:rsidP="00FA4718">
      <w:pPr>
        <w:pStyle w:val="2"/>
        <w:spacing w:after="0" w:line="240" w:lineRule="auto"/>
        <w:ind w:right="-330" w:firstLine="851"/>
        <w:rPr>
          <w:rFonts w:ascii="Times New Roman" w:hAnsi="Times New Roman"/>
          <w:sz w:val="28"/>
          <w:szCs w:val="28"/>
          <w:lang w:val="en-US"/>
        </w:rPr>
      </w:pPr>
    </w:p>
    <w:p w:rsidR="00FA4718" w:rsidRDefault="00FA4718" w:rsidP="00FA4718">
      <w:pPr>
        <w:pStyle w:val="2"/>
        <w:spacing w:after="0" w:line="240" w:lineRule="auto"/>
        <w:ind w:right="-330"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Avizat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Focșa</w:t>
      </w:r>
      <w:proofErr w:type="spellEnd"/>
    </w:p>
    <w:p w:rsidR="00FA4718" w:rsidRDefault="00FA4718" w:rsidP="00FA4718">
      <w:pPr>
        <w:spacing w:after="0" w:line="240" w:lineRule="auto"/>
        <w:ind w:right="-33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A4718" w:rsidRDefault="00FA4718" w:rsidP="00FA4718">
      <w:pPr>
        <w:spacing w:after="0" w:line="240" w:lineRule="auto"/>
        <w:ind w:left="-567" w:right="-33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A4718" w:rsidRDefault="00FA4718" w:rsidP="00FA4718">
      <w:pPr>
        <w:spacing w:line="240" w:lineRule="auto"/>
        <w:ind w:left="-567" w:right="-33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A4718" w:rsidRDefault="00FA4718" w:rsidP="00FA4718">
      <w:pPr>
        <w:spacing w:line="240" w:lineRule="auto"/>
        <w:ind w:right="-330"/>
        <w:rPr>
          <w:rFonts w:ascii="Times New Roman" w:hAnsi="Times New Roman"/>
          <w:b/>
          <w:sz w:val="28"/>
          <w:szCs w:val="28"/>
          <w:lang w:val="en-US"/>
        </w:rPr>
      </w:pPr>
    </w:p>
    <w:p w:rsidR="00FA4718" w:rsidRDefault="00FA4718" w:rsidP="00FA4718">
      <w:pPr>
        <w:spacing w:line="240" w:lineRule="auto"/>
        <w:ind w:right="-330"/>
        <w:rPr>
          <w:rFonts w:ascii="Times New Roman" w:hAnsi="Times New Roman"/>
          <w:b/>
          <w:sz w:val="28"/>
          <w:szCs w:val="28"/>
          <w:lang w:val="en-US"/>
        </w:rPr>
      </w:pPr>
    </w:p>
    <w:p w:rsidR="00FA4718" w:rsidRDefault="00FA4718" w:rsidP="00FA4718">
      <w:pPr>
        <w:spacing w:line="240" w:lineRule="auto"/>
        <w:ind w:right="-330"/>
        <w:rPr>
          <w:rFonts w:ascii="Times New Roman" w:hAnsi="Times New Roman"/>
          <w:b/>
          <w:sz w:val="28"/>
          <w:szCs w:val="28"/>
          <w:lang w:val="en-US"/>
        </w:rPr>
      </w:pPr>
    </w:p>
    <w:p w:rsidR="00FA4718" w:rsidRDefault="00FA4718" w:rsidP="00FA4718">
      <w:pPr>
        <w:spacing w:line="240" w:lineRule="auto"/>
        <w:ind w:right="-330"/>
        <w:rPr>
          <w:rFonts w:ascii="Times New Roman" w:hAnsi="Times New Roman"/>
          <w:b/>
          <w:sz w:val="28"/>
          <w:szCs w:val="28"/>
          <w:lang w:val="en-US"/>
        </w:rPr>
      </w:pPr>
    </w:p>
    <w:p w:rsidR="00FA4718" w:rsidRDefault="00FA4718" w:rsidP="00FA4718">
      <w:pPr>
        <w:spacing w:line="240" w:lineRule="auto"/>
        <w:ind w:right="-330"/>
        <w:rPr>
          <w:rFonts w:ascii="Times New Roman" w:hAnsi="Times New Roman"/>
          <w:b/>
          <w:sz w:val="28"/>
          <w:szCs w:val="28"/>
          <w:lang w:val="en-US"/>
        </w:rPr>
      </w:pPr>
    </w:p>
    <w:p w:rsidR="00FA4718" w:rsidRDefault="00FA4718" w:rsidP="00FA4718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NOTĂ INFORMATIVĂ</w:t>
      </w:r>
    </w:p>
    <w:p w:rsidR="00FA4718" w:rsidRDefault="00FA4718" w:rsidP="00FA4718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FA4718" w:rsidRDefault="00FA4718" w:rsidP="00FA4718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A4718" w:rsidRDefault="00FA4718" w:rsidP="00FA4718">
      <w:pPr>
        <w:spacing w:after="0" w:line="240" w:lineRule="auto"/>
        <w:ind w:left="284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en-US"/>
        </w:rPr>
        <w:t>,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>Cu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privire la înregistrarea dreptului de proprietate provizorie asupra construcțiilor transmise sau care urmau  în contul cotelor părți valorice din patrimoniul fostelor întreprinderi agricole.”.</w:t>
      </w:r>
    </w:p>
    <w:p w:rsidR="00FA4718" w:rsidRDefault="00FA4718" w:rsidP="00FA4718">
      <w:pPr>
        <w:spacing w:after="0" w:line="240" w:lineRule="auto"/>
        <w:ind w:left="284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9"/>
      </w:tblGrid>
      <w:tr w:rsidR="00FA4718" w:rsidRPr="00154C27" w:rsidTr="00FA47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8" w:rsidRDefault="00FA4718" w:rsidP="00337847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Denumirea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participanţilor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FA4718" w:rsidRPr="00154C27" w:rsidTr="00FA47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8" w:rsidRDefault="00FA4718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specialistul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funciar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Gîrjeu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Valentina</w:t>
            </w:r>
            <w:proofErr w:type="spellEnd"/>
          </w:p>
        </w:tc>
      </w:tr>
      <w:tr w:rsidR="00FA4718" w:rsidRPr="00154C27" w:rsidTr="00FA47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8" w:rsidRDefault="00FA4718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FA4718" w:rsidRPr="00154C27" w:rsidTr="00FA47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8" w:rsidRDefault="00FA4718">
            <w:pPr>
              <w:pStyle w:val="a3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="roboto" w:hAnsi="roboto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</w:t>
            </w:r>
            <w:proofErr w:type="spellStart"/>
            <w:r>
              <w:rPr>
                <w:sz w:val="28"/>
                <w:szCs w:val="28"/>
                <w:lang w:val="en-US"/>
              </w:rPr>
              <w:t>Avînd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vedere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faptul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că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patrimoniul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fostelor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gospodării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agricole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repartizate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cote-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părți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valorice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reforma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funciară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din 1998, care nu a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fost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solicitat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până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prezent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proprietari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, nu se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află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prezent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nici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evidența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proprietarilor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nici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roboto" w:hAnsi="roboto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autorităților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locale,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ajungând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într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-o stare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avansată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degradare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>. </w:t>
            </w:r>
          </w:p>
          <w:p w:rsidR="00FA4718" w:rsidRDefault="00FA4718">
            <w:pPr>
              <w:pStyle w:val="a3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="roboto" w:hAnsi="roboto"/>
                <w:sz w:val="28"/>
                <w:szCs w:val="28"/>
                <w:lang w:val="en-US"/>
              </w:rPr>
            </w:pPr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      Ca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urmare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transmiterii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proprietate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privată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bunurilor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imobile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fostelor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gospodării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colective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agricole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proprietarii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cotelor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părţi-valorice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nici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până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prezent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nu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cunosc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proprietatea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lor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adevărată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nu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îşi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pot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demonstra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dreptul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asupra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bunurilor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incluse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ele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Cauza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principală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este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lipsa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actelor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ce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confirmă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dreptul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proprietate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asupra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cotei-părţi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valorice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într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-un bun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imobil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fostei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gospodării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agricole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lipsa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titularilor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cotelor-părți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valorice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”,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explică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nota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informativă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proiectului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roboto" w:hAnsi="roboto"/>
                <w:sz w:val="28"/>
                <w:szCs w:val="28"/>
                <w:lang w:val="en-US"/>
              </w:rPr>
              <w:t>lege</w:t>
            </w:r>
            <w:proofErr w:type="spellEnd"/>
            <w:r>
              <w:rPr>
                <w:rFonts w:ascii="roboto" w:hAnsi="roboto"/>
                <w:sz w:val="28"/>
                <w:szCs w:val="28"/>
                <w:lang w:val="en-US"/>
              </w:rPr>
              <w:t>.</w:t>
            </w:r>
          </w:p>
        </w:tc>
      </w:tr>
      <w:tr w:rsidR="00FA4718" w:rsidRPr="00154C27" w:rsidTr="00FA47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8" w:rsidRDefault="00FA4718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FA4718" w:rsidTr="00FA47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8" w:rsidRDefault="00FA4718">
            <w:pPr>
              <w:spacing w:after="0"/>
              <w:ind w:left="142" w:right="99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1.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Aprobarea Listei bunurilor transmise sau care urmau a fi transmise în contul cotelor părți valorice din patrimoniul fostelor întreprinderi agricole, care devin proprietatea UAT or. Căușeni, conform anexei nr. 1, parte integrandă a prezentei decizii.</w:t>
            </w:r>
          </w:p>
          <w:p w:rsidR="00FA4718" w:rsidRDefault="00FA4718">
            <w:pPr>
              <w:spacing w:after="0"/>
              <w:ind w:left="142" w:right="99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2. Aprobarea Actului de constatare din 10 martie 2023 privind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completarea certificatelor de proprietate privată ce confirmă dreptul asupra cotelor-părți valorice din patrimoniul foste Întreprinderi Agricole CAP ”Obrii”,  parte integrantă a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prezentei decizii.</w:t>
            </w:r>
          </w:p>
          <w:p w:rsidR="00FA4718" w:rsidRDefault="00FA4718">
            <w:pPr>
              <w:spacing w:after="0"/>
              <w:ind w:left="142" w:right="9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3. Înregistrarea în Registrul Bunurilor Imobile, ținut de Serviciul Cadastral Teritorial Căușeni, dreptul de proprietate provizorie asupra construcțiilor  transmise sau care urmau a fi  în contul cotelor părți valorice din patrimoniul fostelor întreprinderi agricole după UAT or. Căușeni, conform anexei nr. 2, parte integrantă a prezentei decizii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A4718" w:rsidRDefault="00FA4718">
            <w:pPr>
              <w:spacing w:after="0"/>
              <w:ind w:left="142" w:right="9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A4718" w:rsidTr="00FA47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8" w:rsidRDefault="00FA4718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4.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Fundamentarea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FA4718" w:rsidTr="00FA47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8" w:rsidRDefault="00FA4718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----------------------------------------------</w:t>
            </w:r>
          </w:p>
        </w:tc>
      </w:tr>
      <w:tr w:rsidR="00FA4718" w:rsidRPr="00154C27" w:rsidTr="00FA47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8" w:rsidRDefault="00FA4718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Modul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încorporare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actului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cadrul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vigoare</w:t>
            </w:r>
            <w:proofErr w:type="spellEnd"/>
          </w:p>
        </w:tc>
      </w:tr>
      <w:tr w:rsidR="00FA4718" w:rsidRPr="00154C27" w:rsidTr="00FA47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8" w:rsidRDefault="00FA4718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3, 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Funciar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R. Moldova nr. 828-XII din 25.12.1991,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art.4 (2), (3), lit.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5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Cadastrului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bunurilor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imobilr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1543-XIII din 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februarie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1998, art. 4 (1), (3), 6, 20 (3), (4), lit. c), 8, 12 (1), 22 (1), (2)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 lit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delimitarea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proprietății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29 din 05.04.2018,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Ordinul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Agenției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Relații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Funciare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Cadastru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clasificatorului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terenurilor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categoria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folosință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17 din 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2021,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art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14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(1), (2), lit. b), d), (3), 20 (5) din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Moldova, nr. 436-XVI din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28.12.2006 ”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”.</w:t>
            </w:r>
          </w:p>
        </w:tc>
      </w:tr>
      <w:tr w:rsidR="00FA4718" w:rsidTr="00FA47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8" w:rsidRDefault="00FA471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anticorupție. </w:t>
            </w:r>
          </w:p>
        </w:tc>
      </w:tr>
      <w:tr w:rsidR="00FA4718" w:rsidRPr="00154C27" w:rsidTr="00FA4718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8" w:rsidRDefault="00FA4718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FA4718" w:rsidRPr="00154C27" w:rsidTr="00FA47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8" w:rsidRDefault="00FA4718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FA4718" w:rsidRPr="00154C27" w:rsidTr="00FA471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18" w:rsidRDefault="00FA4718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 239/2008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alocarea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premiului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FA4718" w:rsidRDefault="00FA4718" w:rsidP="00FA4718">
      <w:pPr>
        <w:rPr>
          <w:rFonts w:ascii="Times New Roman" w:hAnsi="Times New Roman"/>
          <w:sz w:val="28"/>
          <w:szCs w:val="28"/>
          <w:lang w:val="ro-RO"/>
        </w:rPr>
      </w:pPr>
    </w:p>
    <w:p w:rsidR="00FA4718" w:rsidRDefault="00FA4718" w:rsidP="00FA4718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FA4718" w:rsidRDefault="00FA4718" w:rsidP="00FA4718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Specialist principal                                                        Valentina  Gîrjeu</w:t>
      </w:r>
    </w:p>
    <w:p w:rsidR="00FA4718" w:rsidRDefault="00FA4718" w:rsidP="00FA4718">
      <w:pPr>
        <w:spacing w:line="360" w:lineRule="auto"/>
        <w:ind w:left="284" w:right="-33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A4718" w:rsidRDefault="00FA4718" w:rsidP="00FA4718">
      <w:pPr>
        <w:spacing w:line="360" w:lineRule="auto"/>
        <w:ind w:left="284" w:right="-33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A4718" w:rsidRDefault="00FA4718" w:rsidP="00FA4718">
      <w:pPr>
        <w:spacing w:line="360" w:lineRule="auto"/>
        <w:ind w:left="284" w:right="-33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A4718" w:rsidRDefault="00FA4718" w:rsidP="00FA4718">
      <w:pPr>
        <w:spacing w:line="360" w:lineRule="auto"/>
        <w:ind w:left="284" w:right="-33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A4718" w:rsidRDefault="00FA4718" w:rsidP="00FA4718">
      <w:pPr>
        <w:spacing w:line="360" w:lineRule="auto"/>
        <w:ind w:left="284" w:right="-33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A4718" w:rsidRDefault="00FA4718" w:rsidP="00FA4718">
      <w:pPr>
        <w:spacing w:line="360" w:lineRule="auto"/>
        <w:ind w:left="284" w:right="-33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A4718" w:rsidRDefault="00FA4718" w:rsidP="00FA4718">
      <w:pPr>
        <w:spacing w:line="360" w:lineRule="auto"/>
        <w:ind w:left="284" w:right="-33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A4718" w:rsidRDefault="00FA4718" w:rsidP="00FA4718">
      <w:pPr>
        <w:spacing w:line="360" w:lineRule="auto"/>
        <w:ind w:left="284" w:right="-33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A4718" w:rsidRPr="00154C27" w:rsidRDefault="00FA4718" w:rsidP="00FA4718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FA4718" w:rsidRPr="00154C27" w:rsidSect="00FA4718">
      <w:pgSz w:w="11906" w:h="16838"/>
      <w:pgMar w:top="127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A4718"/>
    <w:rsid w:val="000A5E48"/>
    <w:rsid w:val="00154C27"/>
    <w:rsid w:val="009A4D7A"/>
    <w:rsid w:val="00F326EA"/>
    <w:rsid w:val="00FA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A4718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FA4718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FA471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A4718"/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7"/>
    <w:uiPriority w:val="1"/>
    <w:locked/>
    <w:rsid w:val="00FA4718"/>
    <w:rPr>
      <w:rFonts w:ascii="Calibri" w:eastAsiaTheme="minorHAnsi" w:hAnsi="Calibri" w:cs="Calibri"/>
      <w:lang w:eastAsia="en-US"/>
    </w:rPr>
  </w:style>
  <w:style w:type="paragraph" w:styleId="a7">
    <w:name w:val="No Spacing"/>
    <w:link w:val="a6"/>
    <w:uiPriority w:val="1"/>
    <w:qFormat/>
    <w:rsid w:val="00FA4718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8">
    <w:name w:val="List Paragraph"/>
    <w:basedOn w:val="a"/>
    <w:uiPriority w:val="34"/>
    <w:qFormat/>
    <w:rsid w:val="00FA4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admin</cp:lastModifiedBy>
  <cp:revision>4</cp:revision>
  <cp:lastPrinted>2023-05-26T13:24:00Z</cp:lastPrinted>
  <dcterms:created xsi:type="dcterms:W3CDTF">2023-05-26T13:21:00Z</dcterms:created>
  <dcterms:modified xsi:type="dcterms:W3CDTF">2023-05-31T13:36:00Z</dcterms:modified>
</cp:coreProperties>
</file>