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1E345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08D6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92217F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modificarea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C5859"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BC5859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C5859" w:rsidRPr="0092217F">
        <w:rPr>
          <w:rFonts w:ascii="Times New Roman" w:hAnsi="Times New Roman" w:cs="Times New Roman"/>
          <w:sz w:val="32"/>
          <w:szCs w:val="32"/>
          <w:lang w:val="en-US"/>
        </w:rPr>
        <w:t>completarea</w:t>
      </w:r>
      <w:proofErr w:type="spellEnd"/>
      <w:r w:rsidR="00BC5859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</w:p>
    <w:p w:rsidR="00EA3B80" w:rsidRPr="0092217F" w:rsidRDefault="00EA3B80" w:rsidP="00EA3B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</w:t>
      </w:r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gram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</w:p>
    <w:p w:rsidR="00EA3B80" w:rsidRPr="0092217F" w:rsidRDefault="00EA3B80" w:rsidP="00EA3B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aprobarea</w:t>
      </w:r>
      <w:proofErr w:type="spellEnd"/>
      <w:proofErr w:type="gram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bugetului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</w:p>
    <w:p w:rsidR="00EA3B80" w:rsidRPr="0092217F" w:rsidRDefault="00EA3B80" w:rsidP="00EA3B8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anul</w:t>
      </w:r>
      <w:proofErr w:type="spellEnd"/>
      <w:proofErr w:type="gramEnd"/>
      <w:r w:rsidR="001E345E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2023” nr. 3/1 din 16.02.2023</w:t>
      </w:r>
    </w:p>
    <w:p w:rsidR="00EA3B80" w:rsidRPr="0092217F" w:rsidRDefault="00B851C2" w:rsidP="00B851C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E345E" w:rsidRPr="0092217F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Având în vedere:</w:t>
      </w:r>
    </w:p>
    <w:p w:rsidR="001E345E" w:rsidRPr="0092217F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- Decizia Consiliului orășenesc Căușeni ”Cu privire la aprobarea contractării împrumuului pentru realizarea proiectului investițional de reparație capitală a acoperișului tip șarpant și termoizolarea pereților excterirori” nr. 1/5 din 11 februarie 2022;</w:t>
      </w:r>
    </w:p>
    <w:p w:rsidR="001E345E" w:rsidRPr="0092217F" w:rsidRDefault="001E345E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- Avizele comisiilor consultative de specialitate a Consiliului orășenesc Căușeni;</w:t>
      </w:r>
    </w:p>
    <w:p w:rsidR="00EC0269" w:rsidRPr="0092217F" w:rsidRDefault="00EC0269" w:rsidP="001E345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- </w:t>
      </w:r>
      <w:r w:rsidR="0000756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Avizul secretarului Consiliului orășenesc Căușeni;</w:t>
      </w:r>
    </w:p>
    <w:p w:rsidR="00D310CE" w:rsidRPr="0092217F" w:rsidRDefault="00EC0269" w:rsidP="00A742D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î</w:t>
      </w:r>
      <w:r w:rsidR="00D310CE" w:rsidRPr="0092217F">
        <w:rPr>
          <w:rFonts w:ascii="Times New Roman" w:hAnsi="Times New Roman" w:cs="Times New Roman"/>
          <w:sz w:val="32"/>
          <w:szCs w:val="32"/>
          <w:lang w:val="ro-RO"/>
        </w:rPr>
        <w:t>n conformitate cu art. 62</w:t>
      </w:r>
      <w:r w:rsidR="00012786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(1)</w:t>
      </w:r>
      <w:r w:rsidR="004F2C06">
        <w:rPr>
          <w:rFonts w:ascii="Times New Roman" w:hAnsi="Times New Roman" w:cs="Times New Roman"/>
          <w:sz w:val="32"/>
          <w:szCs w:val="32"/>
          <w:lang w:val="ro-RO"/>
        </w:rPr>
        <w:t>, 64</w:t>
      </w:r>
      <w:r w:rsidR="00D310CE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din Legea privind actele normative nr. 100 din 22.12.2017,</w:t>
      </w:r>
    </w:p>
    <w:p w:rsidR="007F6128" w:rsidRPr="0092217F" w:rsidRDefault="003B77DF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  <w:t xml:space="preserve">art. 8 (1), </w:t>
      </w:r>
      <w:r w:rsidR="00E72AFE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9, 28 (1), (2), lit. </w:t>
      </w:r>
      <w:r w:rsidR="007F6128" w:rsidRPr="0092217F">
        <w:rPr>
          <w:rFonts w:ascii="Times New Roman" w:hAnsi="Times New Roman" w:cs="Times New Roman"/>
          <w:sz w:val="32"/>
          <w:szCs w:val="32"/>
          <w:lang w:val="ro-RO"/>
        </w:rPr>
        <w:t>a), (3), (4), 32, lit. a) din Legea privind finanțele publice locale nr. 397 – XV din 16 octombrie 2003,</w:t>
      </w:r>
    </w:p>
    <w:p w:rsidR="00F92CB6" w:rsidRPr="0092217F" w:rsidRDefault="007F6128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  <w:t xml:space="preserve">în baza </w:t>
      </w:r>
      <w:r w:rsidR="00F92CB6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art. 3, lit. a), </w:t>
      </w:r>
      <w:r w:rsidR="004F2C06">
        <w:rPr>
          <w:rFonts w:ascii="Times New Roman" w:hAnsi="Times New Roman" w:cs="Times New Roman"/>
          <w:sz w:val="32"/>
          <w:szCs w:val="32"/>
          <w:lang w:val="ro-RO"/>
        </w:rPr>
        <w:t xml:space="preserve">4 (1), lit. h), </w:t>
      </w:r>
      <w:r w:rsidR="001C6BA9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12 (1), (2) din Legea privind descentralizarea administrativă nr. 435 – XVI din 28.12.2006, </w:t>
      </w:r>
    </w:p>
    <w:p w:rsidR="003B77DF" w:rsidRPr="0092217F" w:rsidRDefault="00F92CB6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  <w:t>în temeiul art. 3, 9, 10 (1), (2), 14 (1) (2), lit.</w:t>
      </w:r>
      <w:r w:rsidR="00261828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n), 19 (4), 20 (1), (5), </w:t>
      </w:r>
      <w:r w:rsidR="003B42AA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81 (1) din Legea privind administrația publică locală nr. 436 – XVI din 28.12.2006, Consiliul Orășenesc Căușeni, </w:t>
      </w:r>
      <w:r w:rsidR="00806205" w:rsidRPr="0092217F">
        <w:rPr>
          <w:rFonts w:ascii="Times New Roman" w:hAnsi="Times New Roman" w:cs="Times New Roman"/>
          <w:b/>
          <w:sz w:val="32"/>
          <w:szCs w:val="32"/>
          <w:lang w:val="ro-RO"/>
        </w:rPr>
        <w:t>DECIDE</w:t>
      </w:r>
      <w:r w:rsidR="00806205" w:rsidRPr="0092217F">
        <w:rPr>
          <w:rFonts w:ascii="Times New Roman" w:hAnsi="Times New Roman" w:cs="Times New Roman"/>
          <w:sz w:val="32"/>
          <w:szCs w:val="32"/>
          <w:lang w:val="ro-RO"/>
        </w:rPr>
        <w:t>:</w:t>
      </w:r>
      <w:r w:rsidR="001C6BA9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F6128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3B77DF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806205" w:rsidRPr="0092217F" w:rsidRDefault="00806205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C7164D" w:rsidRPr="0092217F" w:rsidRDefault="00806205" w:rsidP="00C716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Decizia Consiliului Orășenesc Căușeni </w:t>
      </w:r>
      <w:r w:rsidR="0000756E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Cu privire la aprobarea bugetului or</w:t>
      </w:r>
      <w:r w:rsidR="00BC5859" w:rsidRPr="0092217F">
        <w:rPr>
          <w:rFonts w:ascii="Times New Roman" w:hAnsi="Times New Roman" w:cs="Times New Roman"/>
          <w:sz w:val="32"/>
          <w:szCs w:val="32"/>
          <w:lang w:val="ro-RO"/>
        </w:rPr>
        <w:t>așului Căușeni pentru  anul 2023” nr. 3/1 din 16.02.2023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52893" w:rsidRPr="0092217F">
        <w:rPr>
          <w:rFonts w:ascii="Times New Roman" w:hAnsi="Times New Roman" w:cs="Times New Roman"/>
          <w:sz w:val="32"/>
          <w:szCs w:val="32"/>
          <w:lang w:val="ro-RO"/>
        </w:rPr>
        <w:t>se modifică</w:t>
      </w:r>
      <w:r w:rsidR="00BC5859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și se completează</w:t>
      </w:r>
      <w:r w:rsidR="00952893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după cum urmează:</w:t>
      </w:r>
    </w:p>
    <w:p w:rsidR="00580A46" w:rsidRPr="0092217F" w:rsidRDefault="00C7164D" w:rsidP="00580A46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În pct. 1 suma aprobată a bugetului o</w:t>
      </w:r>
      <w:r w:rsidR="00F2399B" w:rsidRPr="0092217F">
        <w:rPr>
          <w:rFonts w:ascii="Times New Roman" w:hAnsi="Times New Roman" w:cs="Times New Roman"/>
          <w:sz w:val="32"/>
          <w:szCs w:val="32"/>
          <w:lang w:val="ro-RO"/>
        </w:rPr>
        <w:t>rașului Căușeni pentru anul 2023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se modifică la venituri și cheltuieli și se majorează cu </w:t>
      </w:r>
      <w:r w:rsidR="00F2399B" w:rsidRPr="0092217F">
        <w:rPr>
          <w:rFonts w:ascii="Times New Roman" w:hAnsi="Times New Roman" w:cs="Times New Roman"/>
          <w:sz w:val="32"/>
          <w:szCs w:val="32"/>
          <w:lang w:val="ro-RO"/>
        </w:rPr>
        <w:t>7338,0 mii lei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, inclusiv:</w:t>
      </w:r>
    </w:p>
    <w:p w:rsidR="00F2399B" w:rsidRPr="0092217F" w:rsidRDefault="00F2399B" w:rsidP="00F2399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lastRenderedPageBreak/>
        <w:t>Anexa nr. 1 ”Indicatorii generali și sursele de finanțare a bugetului orășenesc Căușeni pentru anul 2023”, se modifică după cum urmează:</w:t>
      </w:r>
    </w:p>
    <w:p w:rsidR="00F2399B" w:rsidRPr="0092217F" w:rsidRDefault="00F2399B" w:rsidP="00F2399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L</w:t>
      </w:r>
      <w:r w:rsidR="00CD57A5" w:rsidRPr="0092217F">
        <w:rPr>
          <w:rFonts w:ascii="Times New Roman" w:hAnsi="Times New Roman" w:cs="Times New Roman"/>
          <w:sz w:val="32"/>
          <w:szCs w:val="32"/>
          <w:lang w:val="ro-RO"/>
        </w:rPr>
        <w:t>a Capitolele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”</w:t>
      </w:r>
      <w:r w:rsidRPr="0092217F">
        <w:rPr>
          <w:rFonts w:ascii="Times New Roman" w:hAnsi="Times New Roman" w:cs="Times New Roman"/>
          <w:b/>
          <w:sz w:val="32"/>
          <w:szCs w:val="32"/>
          <w:lang w:val="ro-RO"/>
        </w:rPr>
        <w:t>I. Venituri, total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”, </w:t>
      </w:r>
      <w:r w:rsidR="00CD57A5" w:rsidRPr="0092217F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CD57A5" w:rsidRPr="0092217F">
        <w:rPr>
          <w:rFonts w:ascii="Times New Roman" w:hAnsi="Times New Roman" w:cs="Times New Roman"/>
          <w:b/>
          <w:sz w:val="32"/>
          <w:szCs w:val="32"/>
          <w:lang w:val="ro-RO"/>
        </w:rPr>
        <w:t>II. Cheltuieli, total</w:t>
      </w:r>
      <w:r w:rsidR="00CD57A5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”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în colonița ”suma, mii lei”, sumele se majorează cu </w:t>
      </w:r>
      <w:r w:rsidR="007F4567" w:rsidRPr="0092217F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7338</w:t>
      </w:r>
      <w:r w:rsidR="007F4567" w:rsidRPr="0092217F">
        <w:rPr>
          <w:rFonts w:ascii="Times New Roman" w:hAnsi="Times New Roman" w:cs="Times New Roman"/>
          <w:sz w:val="32"/>
          <w:szCs w:val="32"/>
          <w:lang w:val="ro-RO"/>
        </w:rPr>
        <w:t>,0”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mii lei.</w:t>
      </w:r>
    </w:p>
    <w:p w:rsidR="00CD57A5" w:rsidRPr="0092217F" w:rsidRDefault="00CD57A5" w:rsidP="00CD57A5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1.3    Anexa nr. 2 ”Sinteza veniturilor bugetului orășenesc Căușeni și transferurile de la bugetul de stat către bugetul orășenesc Căușeni pentru anul 2023” se modifică și completează după cum urmează:</w:t>
      </w:r>
    </w:p>
    <w:p w:rsidR="002A6F84" w:rsidRPr="0092217F" w:rsidRDefault="00CD57A5" w:rsidP="002A6F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La Capitolul </w:t>
      </w:r>
      <w:r w:rsidR="007C4518" w:rsidRPr="0092217F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7C4518" w:rsidRPr="0092217F">
        <w:rPr>
          <w:rFonts w:ascii="Times New Roman" w:hAnsi="Times New Roman" w:cs="Times New Roman"/>
          <w:b/>
          <w:sz w:val="32"/>
          <w:szCs w:val="32"/>
          <w:lang w:val="ro-RO"/>
        </w:rPr>
        <w:t>Denumirea</w:t>
      </w:r>
      <w:r w:rsidR="007C4518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”, poziția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Pr="0092217F">
        <w:rPr>
          <w:rFonts w:ascii="Times New Roman" w:hAnsi="Times New Roman" w:cs="Times New Roman"/>
          <w:b/>
          <w:sz w:val="32"/>
          <w:szCs w:val="32"/>
          <w:lang w:val="ro-RO"/>
        </w:rPr>
        <w:t>Venituri total: inclusiv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” </w:t>
      </w:r>
      <w:r w:rsidR="002A6F84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în colonița ”suma, mii lei”, sumele se majorează cu </w:t>
      </w:r>
      <w:r w:rsidR="00426201" w:rsidRPr="0092217F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2A6F84" w:rsidRPr="0092217F">
        <w:rPr>
          <w:rFonts w:ascii="Times New Roman" w:hAnsi="Times New Roman" w:cs="Times New Roman"/>
          <w:sz w:val="32"/>
          <w:szCs w:val="32"/>
          <w:lang w:val="ro-RO"/>
        </w:rPr>
        <w:t>7338</w:t>
      </w:r>
      <w:r w:rsidR="007F4567" w:rsidRPr="0092217F">
        <w:rPr>
          <w:rFonts w:ascii="Times New Roman" w:hAnsi="Times New Roman" w:cs="Times New Roman"/>
          <w:sz w:val="32"/>
          <w:szCs w:val="32"/>
          <w:lang w:val="ro-RO"/>
        </w:rPr>
        <w:t>,0</w:t>
      </w:r>
      <w:r w:rsidR="002A6F84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mii lei</w:t>
      </w:r>
      <w:r w:rsidR="00426201" w:rsidRPr="0092217F">
        <w:rPr>
          <w:rFonts w:ascii="Times New Roman" w:hAnsi="Times New Roman" w:cs="Times New Roman"/>
          <w:sz w:val="32"/>
          <w:szCs w:val="32"/>
          <w:lang w:val="ro-RO"/>
        </w:rPr>
        <w:t>”</w:t>
      </w:r>
      <w:r w:rsidR="002A6F84" w:rsidRPr="0092217F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26201" w:rsidRPr="0092217F" w:rsidRDefault="00426201" w:rsidP="002A6F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La finalul anexei se întroduce un alineat nou, cu următorul cuprins: </w:t>
      </w:r>
    </w:p>
    <w:tbl>
      <w:tblPr>
        <w:tblStyle w:val="a7"/>
        <w:tblW w:w="0" w:type="auto"/>
        <w:tblInd w:w="534" w:type="dxa"/>
        <w:tblLook w:val="04A0"/>
      </w:tblPr>
      <w:tblGrid>
        <w:gridCol w:w="4110"/>
        <w:gridCol w:w="1985"/>
        <w:gridCol w:w="1843"/>
        <w:gridCol w:w="1099"/>
      </w:tblGrid>
      <w:tr w:rsidR="00426201" w:rsidRPr="0092217F" w:rsidTr="00426201">
        <w:tc>
          <w:tcPr>
            <w:tcW w:w="4110" w:type="dxa"/>
          </w:tcPr>
          <w:p w:rsidR="00426201" w:rsidRPr="0092217F" w:rsidRDefault="00426201" w:rsidP="0042620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2217F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Primirea împrumuturilor externe pentru proiecte finanțate din surse externe de la organizațiile financiare internaționale”</w:t>
            </w:r>
          </w:p>
        </w:tc>
        <w:tc>
          <w:tcPr>
            <w:tcW w:w="1985" w:type="dxa"/>
          </w:tcPr>
          <w:p w:rsidR="00426201" w:rsidRPr="0092217F" w:rsidRDefault="00426201" w:rsidP="0042620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2217F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Cod ECO 595410</w:t>
            </w:r>
          </w:p>
        </w:tc>
        <w:tc>
          <w:tcPr>
            <w:tcW w:w="1843" w:type="dxa"/>
          </w:tcPr>
          <w:p w:rsidR="00426201" w:rsidRPr="0092217F" w:rsidRDefault="00426201" w:rsidP="0042620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92217F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7338,0</w:t>
            </w:r>
          </w:p>
        </w:tc>
        <w:tc>
          <w:tcPr>
            <w:tcW w:w="1099" w:type="dxa"/>
          </w:tcPr>
          <w:p w:rsidR="00426201" w:rsidRPr="0092217F" w:rsidRDefault="00426201" w:rsidP="00426201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</w:tbl>
    <w:p w:rsidR="007C4518" w:rsidRPr="0092217F" w:rsidRDefault="00957684" w:rsidP="00426201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     </w:t>
      </w:r>
      <w:r w:rsidR="00426201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1.4 </w:t>
      </w:r>
      <w:r w:rsidR="00BF4E10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     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Anexa nr. 3 ”Resursele și cheltuielile bugetului orășenesc Căușeni conform clasificației funcționale și pe programe pentru anul 2023” se modifică după cum urmează:</w:t>
      </w:r>
    </w:p>
    <w:p w:rsidR="00957684" w:rsidRPr="0092217F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-  la Capitolul ”</w:t>
      </w:r>
      <w:r w:rsidRPr="0092217F">
        <w:rPr>
          <w:rFonts w:ascii="Times New Roman" w:hAnsi="Times New Roman" w:cs="Times New Roman"/>
          <w:b/>
          <w:sz w:val="32"/>
          <w:szCs w:val="32"/>
          <w:lang w:val="ro-RO"/>
        </w:rPr>
        <w:t>Denumirea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”:</w:t>
      </w:r>
    </w:p>
    <w:p w:rsidR="00957684" w:rsidRPr="0092217F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-  poziția ”</w:t>
      </w:r>
      <w:r w:rsidRPr="0092217F">
        <w:rPr>
          <w:rFonts w:ascii="Times New Roman" w:hAnsi="Times New Roman" w:cs="Times New Roman"/>
          <w:b/>
          <w:sz w:val="32"/>
          <w:szCs w:val="32"/>
          <w:lang w:val="ro-RO"/>
        </w:rPr>
        <w:t>Cheltuieli recurente, în total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” în colonița ”suma, mii lei”, sumele se majorează cu ”7338 mii lei”.</w:t>
      </w:r>
    </w:p>
    <w:p w:rsidR="00957684" w:rsidRPr="0092217F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-  la pozițiile ”Învățământ”, ”Resurse, total”</w:t>
      </w:r>
      <w:r w:rsidR="00C24D49" w:rsidRPr="0092217F">
        <w:rPr>
          <w:rFonts w:ascii="Times New Roman" w:hAnsi="Times New Roman" w:cs="Times New Roman"/>
          <w:sz w:val="32"/>
          <w:szCs w:val="32"/>
          <w:lang w:val="ro-RO"/>
        </w:rPr>
        <w:t>, ”Resurse generale”, ”Inclusiv din contul transferurilor de la BS”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sumele se majorează cu ”7338, 0” mii lei</w:t>
      </w:r>
      <w:r w:rsidR="00C24D49" w:rsidRPr="0092217F">
        <w:rPr>
          <w:rFonts w:ascii="Times New Roman" w:hAnsi="Times New Roman" w:cs="Times New Roman"/>
          <w:sz w:val="32"/>
          <w:szCs w:val="32"/>
          <w:lang w:val="ro-RO"/>
        </w:rPr>
        <w:t>, iar, la poziția ”Inclusiv din contul transferurilor de la BS” se întroduc cuvintele: ”și primirea î</w:t>
      </w:r>
      <w:r w:rsidR="005E6636" w:rsidRPr="0092217F">
        <w:rPr>
          <w:rFonts w:ascii="Times New Roman" w:hAnsi="Times New Roman" w:cs="Times New Roman"/>
          <w:sz w:val="32"/>
          <w:szCs w:val="32"/>
          <w:lang w:val="ro-RO"/>
        </w:rPr>
        <w:t>mprumuturilor externe pentru pro</w:t>
      </w:r>
      <w:r w:rsidR="00C24D49" w:rsidRPr="0092217F">
        <w:rPr>
          <w:rFonts w:ascii="Times New Roman" w:hAnsi="Times New Roman" w:cs="Times New Roman"/>
          <w:sz w:val="32"/>
          <w:szCs w:val="32"/>
          <w:lang w:val="ro-RO"/>
        </w:rPr>
        <w:t>iecte finanțate din surse externe de la organizațiile financiare internaționale”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957684" w:rsidRPr="0092217F" w:rsidRDefault="00957684" w:rsidP="00957684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La pozițiile ”Cheltuieli, total”</w:t>
      </w:r>
      <w:r w:rsidR="005E6636" w:rsidRPr="0092217F"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”Educație timpurie”</w:t>
      </w:r>
      <w:r w:rsidR="005E6636" w:rsidRPr="0092217F"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E6636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”Inclusiv din contul transferurilor de la BS”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sumele se majorează cu ”7338, 0” mii lei</w:t>
      </w:r>
      <w:r w:rsidR="005E6636" w:rsidRPr="0092217F">
        <w:rPr>
          <w:rFonts w:ascii="Times New Roman" w:hAnsi="Times New Roman" w:cs="Times New Roman"/>
          <w:sz w:val="32"/>
          <w:szCs w:val="32"/>
          <w:lang w:val="ro-RO"/>
        </w:rPr>
        <w:t>, iar, la poziția ”Inclusiv din contul transferurilor de la BS” se întroduc cuvintele: ”și primirea împrumuturilor externe pentru proiecte finanțate din surse externe de la organizațiile financiare internaționale”.</w:t>
      </w:r>
    </w:p>
    <w:p w:rsidR="00973120" w:rsidRPr="0092217F" w:rsidRDefault="00FC241F" w:rsidP="00957684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973120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1.5   Anexa nr. 3.1 ”Dezagregarea cheltuielilor pe Codurile instituțiilor primăriei la bugetul aprobat pentru anul 2023” 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se modifică după cum urmează:</w:t>
      </w:r>
    </w:p>
    <w:p w:rsidR="00957684" w:rsidRPr="0092217F" w:rsidRDefault="00FC241F" w:rsidP="0092217F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lastRenderedPageBreak/>
        <w:tab/>
        <w:t>- La Capitolul ”Denumirea”, pozițiile ”Educație timpurie - to</w:t>
      </w:r>
      <w:r w:rsidR="0092217F">
        <w:rPr>
          <w:rFonts w:ascii="Times New Roman" w:hAnsi="Times New Roman" w:cs="Times New Roman"/>
          <w:sz w:val="32"/>
          <w:szCs w:val="32"/>
          <w:lang w:val="ro-RO"/>
        </w:rPr>
        <w:t>t</w:t>
      </w:r>
      <w:r w:rsidRPr="0092217F">
        <w:rPr>
          <w:rFonts w:ascii="Times New Roman" w:hAnsi="Times New Roman" w:cs="Times New Roman"/>
          <w:sz w:val="32"/>
          <w:szCs w:val="32"/>
          <w:lang w:val="ro-RO"/>
        </w:rPr>
        <w:t>al” și ”Gradinița nr. 2” în colonița ”suma, mii lei”, sumele se majorează cu ”7338 mii lei”</w:t>
      </w:r>
      <w:r w:rsidR="0092217F" w:rsidRPr="0092217F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92217F" w:rsidRPr="0092217F" w:rsidRDefault="0092217F" w:rsidP="0092217F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B769E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>, 3.</w:t>
      </w:r>
      <w:proofErr w:type="gramEnd"/>
    </w:p>
    <w:p w:rsidR="00F2399B" w:rsidRPr="0092217F" w:rsidRDefault="00B769EE" w:rsidP="0092217F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EE48AD" w:rsidRPr="0092217F" w:rsidRDefault="00446717" w:rsidP="009221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E48AD" w:rsidRPr="0092217F">
        <w:rPr>
          <w:rFonts w:ascii="Times New Roman" w:hAnsi="Times New Roman" w:cs="Times New Roman"/>
          <w:sz w:val="32"/>
          <w:szCs w:val="32"/>
          <w:lang w:val="ro-RO"/>
        </w:rPr>
        <w:t>Prezenta decizie se comunică:</w:t>
      </w:r>
    </w:p>
    <w:p w:rsidR="00EE48AD" w:rsidRPr="0092217F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Dlui Anatolie Donțu, primarul orașului Căușeni;</w:t>
      </w:r>
    </w:p>
    <w:p w:rsidR="00EE48AD" w:rsidRPr="0092217F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>Oficiului Teritorial Căușe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de stat a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446717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446717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Specialist                           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92217F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Maria </w:t>
      </w:r>
      <w:proofErr w:type="spellStart"/>
      <w:r w:rsidR="0092217F" w:rsidRPr="0092217F">
        <w:rPr>
          <w:rFonts w:ascii="Times New Roman" w:hAnsi="Times New Roman" w:cs="Times New Roman"/>
          <w:sz w:val="32"/>
          <w:szCs w:val="32"/>
          <w:lang w:val="en-US"/>
        </w:rPr>
        <w:t>Bocearov</w:t>
      </w:r>
      <w:proofErr w:type="spellEnd"/>
    </w:p>
    <w:p w:rsidR="0092217F" w:rsidRPr="0092217F" w:rsidRDefault="0092217F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2217F" w:rsidRPr="0092217F" w:rsidRDefault="0092217F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Contabil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șef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Olesea</w:t>
      </w:r>
      <w:proofErr w:type="spellEnd"/>
      <w:r w:rsidRPr="009221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2217F">
        <w:rPr>
          <w:rFonts w:ascii="Times New Roman" w:hAnsi="Times New Roman" w:cs="Times New Roman"/>
          <w:sz w:val="32"/>
          <w:szCs w:val="32"/>
          <w:lang w:val="en-US"/>
        </w:rPr>
        <w:t>Procopenco</w:t>
      </w:r>
      <w:proofErr w:type="spellEnd"/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615BE" w:rsidRPr="0092217F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92217F" w:rsidRDefault="00B851C2" w:rsidP="00A742D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2217F">
        <w:rPr>
          <w:rFonts w:ascii="Times New Roman" w:hAnsi="Times New Roman" w:cs="Times New Roman"/>
          <w:sz w:val="32"/>
          <w:szCs w:val="32"/>
          <w:lang w:val="ro-RO"/>
        </w:rPr>
        <w:tab/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92217F" w:rsidRDefault="00E96FB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FB1" w:rsidRPr="0092217F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756E"/>
    <w:rsid w:val="00012786"/>
    <w:rsid w:val="0001404C"/>
    <w:rsid w:val="00034922"/>
    <w:rsid w:val="000408D6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3337A"/>
    <w:rsid w:val="00157488"/>
    <w:rsid w:val="001808F0"/>
    <w:rsid w:val="001C30C2"/>
    <w:rsid w:val="001C3311"/>
    <w:rsid w:val="001C53FF"/>
    <w:rsid w:val="001C5CFF"/>
    <w:rsid w:val="001C6BA9"/>
    <w:rsid w:val="001D1CCA"/>
    <w:rsid w:val="001D3616"/>
    <w:rsid w:val="001E0CF4"/>
    <w:rsid w:val="001E345E"/>
    <w:rsid w:val="001F4B6B"/>
    <w:rsid w:val="0023470B"/>
    <w:rsid w:val="00250871"/>
    <w:rsid w:val="0025159D"/>
    <w:rsid w:val="00261828"/>
    <w:rsid w:val="002670A0"/>
    <w:rsid w:val="00297715"/>
    <w:rsid w:val="002A6F84"/>
    <w:rsid w:val="002D3491"/>
    <w:rsid w:val="002E64F1"/>
    <w:rsid w:val="002F22A6"/>
    <w:rsid w:val="003148D2"/>
    <w:rsid w:val="00364F33"/>
    <w:rsid w:val="00370A2B"/>
    <w:rsid w:val="003851B2"/>
    <w:rsid w:val="00391E87"/>
    <w:rsid w:val="00397D09"/>
    <w:rsid w:val="003A45D8"/>
    <w:rsid w:val="003B42AA"/>
    <w:rsid w:val="003B77DF"/>
    <w:rsid w:val="00403A33"/>
    <w:rsid w:val="00426201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2C06"/>
    <w:rsid w:val="004F36EC"/>
    <w:rsid w:val="005019DC"/>
    <w:rsid w:val="005338B1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7779"/>
    <w:rsid w:val="005E6636"/>
    <w:rsid w:val="00625323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5CA1"/>
    <w:rsid w:val="00737B4C"/>
    <w:rsid w:val="0075627A"/>
    <w:rsid w:val="007653A7"/>
    <w:rsid w:val="00782BC4"/>
    <w:rsid w:val="007A0023"/>
    <w:rsid w:val="007A532D"/>
    <w:rsid w:val="007B0F96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60E0"/>
    <w:rsid w:val="00840A90"/>
    <w:rsid w:val="008470A2"/>
    <w:rsid w:val="00852E18"/>
    <w:rsid w:val="008960C8"/>
    <w:rsid w:val="008C14B4"/>
    <w:rsid w:val="008C710F"/>
    <w:rsid w:val="008D69D6"/>
    <w:rsid w:val="008E3C70"/>
    <w:rsid w:val="008F129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52C1"/>
    <w:rsid w:val="00996F34"/>
    <w:rsid w:val="009C2E42"/>
    <w:rsid w:val="00A17D02"/>
    <w:rsid w:val="00A742D5"/>
    <w:rsid w:val="00A82B87"/>
    <w:rsid w:val="00AB30E3"/>
    <w:rsid w:val="00B14CAC"/>
    <w:rsid w:val="00B266CB"/>
    <w:rsid w:val="00B27521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24D49"/>
    <w:rsid w:val="00C615BE"/>
    <w:rsid w:val="00C643B7"/>
    <w:rsid w:val="00C66A33"/>
    <w:rsid w:val="00C7164D"/>
    <w:rsid w:val="00C80177"/>
    <w:rsid w:val="00CB1659"/>
    <w:rsid w:val="00CD57A5"/>
    <w:rsid w:val="00CE4AAE"/>
    <w:rsid w:val="00CE691F"/>
    <w:rsid w:val="00CF7833"/>
    <w:rsid w:val="00D04A83"/>
    <w:rsid w:val="00D071EF"/>
    <w:rsid w:val="00D255FB"/>
    <w:rsid w:val="00D310CE"/>
    <w:rsid w:val="00D36A67"/>
    <w:rsid w:val="00D454D0"/>
    <w:rsid w:val="00D52FAE"/>
    <w:rsid w:val="00D63DF5"/>
    <w:rsid w:val="00D73F4A"/>
    <w:rsid w:val="00D80D84"/>
    <w:rsid w:val="00DA31BC"/>
    <w:rsid w:val="00DA404B"/>
    <w:rsid w:val="00DB37FD"/>
    <w:rsid w:val="00DC7D16"/>
    <w:rsid w:val="00DD2B5F"/>
    <w:rsid w:val="00E04E4A"/>
    <w:rsid w:val="00E2181E"/>
    <w:rsid w:val="00E27194"/>
    <w:rsid w:val="00E36AD9"/>
    <w:rsid w:val="00E55809"/>
    <w:rsid w:val="00E6017C"/>
    <w:rsid w:val="00E65A63"/>
    <w:rsid w:val="00E72AFE"/>
    <w:rsid w:val="00E855C7"/>
    <w:rsid w:val="00E85E67"/>
    <w:rsid w:val="00E96FB1"/>
    <w:rsid w:val="00EA3B80"/>
    <w:rsid w:val="00EC0269"/>
    <w:rsid w:val="00ED0E70"/>
    <w:rsid w:val="00ED31C2"/>
    <w:rsid w:val="00EE42CA"/>
    <w:rsid w:val="00EE48AD"/>
    <w:rsid w:val="00EF3CFB"/>
    <w:rsid w:val="00F016E6"/>
    <w:rsid w:val="00F045F3"/>
    <w:rsid w:val="00F0693D"/>
    <w:rsid w:val="00F2399B"/>
    <w:rsid w:val="00F30FCA"/>
    <w:rsid w:val="00F34A00"/>
    <w:rsid w:val="00F50E3F"/>
    <w:rsid w:val="00F54FA4"/>
    <w:rsid w:val="00F86502"/>
    <w:rsid w:val="00F90221"/>
    <w:rsid w:val="00F92CB6"/>
    <w:rsid w:val="00FC01D4"/>
    <w:rsid w:val="00FC241F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142D-B1D0-4BC9-B7C6-6E2DFEA3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2020-03-12T14:41:00Z</cp:lastPrinted>
  <dcterms:created xsi:type="dcterms:W3CDTF">2023-05-24T05:19:00Z</dcterms:created>
  <dcterms:modified xsi:type="dcterms:W3CDTF">2023-05-24T11:47:00Z</dcterms:modified>
</cp:coreProperties>
</file>