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3653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53E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F3653E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572A" w:rsidRPr="00F3653E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CB572A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CB572A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3 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F3653E" w:rsidRPr="00F3653E" w:rsidRDefault="00EA3B80" w:rsidP="00F365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53E" w:rsidRPr="00F3653E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F3653E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F3653E" w:rsidRPr="00F3653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3653E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F3653E" w:rsidRPr="00F3653E" w:rsidRDefault="00F3653E" w:rsidP="00F365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F3653E" w:rsidRPr="00F3653E" w:rsidRDefault="00F3653E" w:rsidP="00F365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2023” nr. 3/1 din 16.02.2023</w:t>
      </w:r>
    </w:p>
    <w:p w:rsidR="00EA3B80" w:rsidRPr="00F3653E" w:rsidRDefault="00B851C2" w:rsidP="00F365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A3B80" w:rsidRPr="00F3653E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achitarea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indemnizațiilor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unice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consilierilor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expirarea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ndatelor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care au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activat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puţin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A4C27" w:rsidRPr="00F3653E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achitarea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comunale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salariilor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angajaților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Căminul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cultural din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vechi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B867EC" w:rsidRPr="00F3653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310CE" w:rsidRPr="00F3653E" w:rsidRDefault="00325652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F3653E">
        <w:rPr>
          <w:rFonts w:ascii="Times New Roman" w:hAnsi="Times New Roman" w:cs="Times New Roman"/>
          <w:sz w:val="28"/>
          <w:szCs w:val="28"/>
          <w:lang w:val="ro-RO"/>
        </w:rPr>
        <w:t>n conformitate cu art. 62</w:t>
      </w:r>
      <w:r w:rsidR="00012786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B25F24" w:rsidRPr="00F3653E">
        <w:rPr>
          <w:rFonts w:ascii="Times New Roman" w:hAnsi="Times New Roman" w:cs="Times New Roman"/>
          <w:sz w:val="28"/>
          <w:szCs w:val="28"/>
          <w:lang w:val="ro-RO"/>
        </w:rPr>
        <w:t>, 64 (1), (2)</w:t>
      </w:r>
      <w:r w:rsidR="00D310CE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F3653E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C8735F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(5), </w:t>
      </w:r>
      <w:r w:rsidR="00E72AFE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F3653E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325652" w:rsidRPr="00F3653E" w:rsidRDefault="00325652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ab/>
      </w:r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. 7 (1), </w:t>
      </w:r>
      <w:r w:rsidR="007562B9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8 (1), </w:t>
      </w: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24 (1), lit. </w:t>
      </w:r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7562B9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(2), </w:t>
      </w:r>
      <w:r w:rsidRPr="00F3653E">
        <w:rPr>
          <w:rFonts w:ascii="Times New Roman" w:hAnsi="Times New Roman" w:cs="Times New Roman"/>
          <w:sz w:val="28"/>
          <w:szCs w:val="28"/>
          <w:lang w:val="en-US"/>
        </w:rPr>
        <w:t>61 (1)</w:t>
      </w:r>
      <w:r w:rsidR="00980397" w:rsidRPr="00F3653E">
        <w:rPr>
          <w:rFonts w:ascii="Times New Roman" w:hAnsi="Times New Roman" w:cs="Times New Roman"/>
          <w:sz w:val="28"/>
          <w:szCs w:val="28"/>
          <w:lang w:val="en-US"/>
        </w:rPr>
        <w:t>, (3)</w:t>
      </w: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F92CB6" w:rsidRPr="00F3653E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1C6BA9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F3653E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A22CCF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F3653E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F3653E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F3653E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6205" w:rsidRPr="00F3653E" w:rsidRDefault="00F3653E" w:rsidP="00F3653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      1. </w:t>
      </w:r>
      <w:r w:rsidR="00CB572A" w:rsidRPr="00F3653E">
        <w:rPr>
          <w:rFonts w:ascii="Times New Roman" w:hAnsi="Times New Roman" w:cs="Times New Roman"/>
          <w:sz w:val="28"/>
          <w:szCs w:val="28"/>
          <w:lang w:val="ro-RO"/>
        </w:rPr>
        <w:t>Anexa nr. 3 ”Resursele și cheltuielile bugetului orășenesc Căușeni conform clasificației funcționale și pe programe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anul 2023”</w:t>
      </w:r>
      <w:r w:rsidR="00CB572A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 d</w:t>
      </w:r>
      <w:r w:rsidR="00CB572A" w:rsidRPr="00F3653E">
        <w:rPr>
          <w:rFonts w:ascii="Times New Roman" w:hAnsi="Times New Roman" w:cs="Times New Roman"/>
          <w:sz w:val="28"/>
          <w:szCs w:val="28"/>
          <w:lang w:val="ro-RO"/>
        </w:rPr>
        <w:t>eciziei</w:t>
      </w:r>
      <w:r w:rsidR="00806205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Consiliului Orășenesc Căușeni 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”Cu privire la aprobarea bugetului orașului Căușeni pentru anul 2023” nr. 3/1 din 16.02.2023 </w:t>
      </w:r>
      <w:r w:rsidR="007562B9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cu modificările și completările ulterior operate, </w:t>
      </w:r>
      <w:r w:rsidR="00952893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se modifică </w:t>
      </w:r>
      <w:r w:rsidR="00806205" w:rsidRPr="00F3653E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7562B9" w:rsidRPr="00F3653E" w:rsidRDefault="00CB572A" w:rsidP="007562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41BD5" w:rsidRPr="00F3653E">
        <w:rPr>
          <w:rFonts w:ascii="Times New Roman" w:hAnsi="Times New Roman" w:cs="Times New Roman"/>
          <w:sz w:val="28"/>
          <w:szCs w:val="28"/>
          <w:lang w:val="ro-RO"/>
        </w:rPr>
        <w:t>a Capitolul</w:t>
      </w:r>
      <w:r w:rsidR="007562B9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7562B9" w:rsidRPr="00F3653E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="007562B9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”: </w:t>
      </w:r>
    </w:p>
    <w:p w:rsidR="007562B9" w:rsidRPr="00F3653E" w:rsidRDefault="007562B9" w:rsidP="007562B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>pozițiile ”</w:t>
      </w:r>
      <w:r w:rsidRPr="00F3653E">
        <w:rPr>
          <w:rFonts w:ascii="Times New Roman" w:hAnsi="Times New Roman" w:cs="Times New Roman"/>
          <w:b/>
          <w:sz w:val="28"/>
          <w:szCs w:val="28"/>
          <w:lang w:val="ro-RO"/>
        </w:rPr>
        <w:t>Servicii în domeniul economiei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>”, ”</w:t>
      </w:r>
      <w:r w:rsidRPr="00F3653E">
        <w:rPr>
          <w:rFonts w:ascii="Times New Roman" w:hAnsi="Times New Roman" w:cs="Times New Roman"/>
          <w:b/>
          <w:sz w:val="28"/>
          <w:szCs w:val="28"/>
          <w:lang w:val="ro-RO"/>
        </w:rPr>
        <w:t>Resurse, total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>”, ”</w:t>
      </w:r>
      <w:r w:rsidRPr="00F3653E">
        <w:rPr>
          <w:rFonts w:ascii="Times New Roman" w:hAnsi="Times New Roman" w:cs="Times New Roman"/>
          <w:b/>
          <w:sz w:val="28"/>
          <w:szCs w:val="28"/>
          <w:lang w:val="ro-RO"/>
        </w:rPr>
        <w:t>Cheltuieli, total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>”, subpoziția ”</w:t>
      </w:r>
      <w:r w:rsidRPr="00F3653E">
        <w:rPr>
          <w:rFonts w:ascii="Times New Roman" w:hAnsi="Times New Roman" w:cs="Times New Roman"/>
          <w:b/>
          <w:sz w:val="28"/>
          <w:szCs w:val="28"/>
          <w:lang w:val="ro-RO"/>
        </w:rPr>
        <w:t>Dezvoltarea drumurilor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>” în colonița ”suma, mii lei”, sumele se micșorează cu ”425,0” mii lei”.</w:t>
      </w:r>
    </w:p>
    <w:p w:rsidR="00B54594" w:rsidRPr="00F3653E" w:rsidRDefault="00552E79" w:rsidP="00B54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54594" w:rsidRPr="00F3653E">
        <w:rPr>
          <w:rFonts w:ascii="Times New Roman" w:hAnsi="Times New Roman" w:cs="Times New Roman"/>
          <w:sz w:val="28"/>
          <w:szCs w:val="28"/>
          <w:lang w:val="ro-RO"/>
        </w:rPr>
        <w:t>ozițiile ”</w:t>
      </w:r>
      <w:r w:rsidR="00B54594" w:rsidRPr="00F3653E">
        <w:rPr>
          <w:rFonts w:ascii="Times New Roman" w:hAnsi="Times New Roman" w:cs="Times New Roman"/>
          <w:b/>
          <w:sz w:val="28"/>
          <w:szCs w:val="28"/>
          <w:lang w:val="ro-RO"/>
        </w:rPr>
        <w:t>Servicii de stat cu destinație generală</w:t>
      </w:r>
      <w:r w:rsidR="00B54594" w:rsidRPr="00F3653E">
        <w:rPr>
          <w:rFonts w:ascii="Times New Roman" w:hAnsi="Times New Roman" w:cs="Times New Roman"/>
          <w:sz w:val="28"/>
          <w:szCs w:val="28"/>
          <w:lang w:val="ro-RO"/>
        </w:rPr>
        <w:t>”, ”</w:t>
      </w:r>
      <w:r w:rsidR="00B54594" w:rsidRPr="00F3653E">
        <w:rPr>
          <w:rFonts w:ascii="Times New Roman" w:hAnsi="Times New Roman" w:cs="Times New Roman"/>
          <w:b/>
          <w:sz w:val="28"/>
          <w:szCs w:val="28"/>
          <w:lang w:val="ro-RO"/>
        </w:rPr>
        <w:t>Resurse, total</w:t>
      </w:r>
      <w:r w:rsidR="00B54594" w:rsidRPr="00F3653E">
        <w:rPr>
          <w:rFonts w:ascii="Times New Roman" w:hAnsi="Times New Roman" w:cs="Times New Roman"/>
          <w:sz w:val="28"/>
          <w:szCs w:val="28"/>
          <w:lang w:val="ro-RO"/>
        </w:rPr>
        <w:t>”, subpoziția ”</w:t>
      </w:r>
      <w:r w:rsidR="00B54594" w:rsidRPr="00F3653E">
        <w:rPr>
          <w:rFonts w:ascii="Times New Roman" w:hAnsi="Times New Roman" w:cs="Times New Roman"/>
          <w:b/>
          <w:sz w:val="28"/>
          <w:szCs w:val="28"/>
          <w:lang w:val="ro-RO"/>
        </w:rPr>
        <w:t>Resurse generale</w:t>
      </w:r>
      <w:r w:rsidR="00B54594" w:rsidRPr="00F3653E">
        <w:rPr>
          <w:rFonts w:ascii="Times New Roman" w:hAnsi="Times New Roman" w:cs="Times New Roman"/>
          <w:sz w:val="28"/>
          <w:szCs w:val="28"/>
          <w:lang w:val="ro-RO"/>
        </w:rPr>
        <w:t>”, poziția ”</w:t>
      </w:r>
      <w:r w:rsidR="00B54594" w:rsidRPr="00F3653E">
        <w:rPr>
          <w:rFonts w:ascii="Times New Roman" w:hAnsi="Times New Roman" w:cs="Times New Roman"/>
          <w:b/>
          <w:sz w:val="28"/>
          <w:szCs w:val="28"/>
          <w:lang w:val="ro-RO"/>
        </w:rPr>
        <w:t>Cheltuieli, total”</w:t>
      </w:r>
      <w:r w:rsidR="00B54594" w:rsidRPr="00F3653E">
        <w:rPr>
          <w:rFonts w:ascii="Times New Roman" w:hAnsi="Times New Roman" w:cs="Times New Roman"/>
          <w:sz w:val="28"/>
          <w:szCs w:val="28"/>
          <w:lang w:val="ro-RO"/>
        </w:rPr>
        <w:t xml:space="preserve">, subpoziția </w:t>
      </w:r>
      <w:r w:rsidR="00B54594" w:rsidRPr="00F3653E">
        <w:rPr>
          <w:rFonts w:ascii="Times New Roman" w:hAnsi="Times New Roman" w:cs="Times New Roman"/>
          <w:sz w:val="28"/>
          <w:szCs w:val="28"/>
          <w:lang w:val="ro-RO"/>
        </w:rPr>
        <w:lastRenderedPageBreak/>
        <w:t>”</w:t>
      </w:r>
      <w:r w:rsidR="00B54594" w:rsidRPr="00F3653E">
        <w:rPr>
          <w:rFonts w:ascii="Times New Roman" w:hAnsi="Times New Roman" w:cs="Times New Roman"/>
          <w:b/>
          <w:sz w:val="28"/>
          <w:szCs w:val="28"/>
          <w:lang w:val="ro-RO"/>
        </w:rPr>
        <w:t>Exercitarea guvernării</w:t>
      </w:r>
      <w:r w:rsidR="00B54594" w:rsidRPr="00F3653E">
        <w:rPr>
          <w:rFonts w:ascii="Times New Roman" w:hAnsi="Times New Roman" w:cs="Times New Roman"/>
          <w:sz w:val="28"/>
          <w:szCs w:val="28"/>
          <w:lang w:val="ro-RO"/>
        </w:rPr>
        <w:t>” în colonița ”suma, mii lei”, sumele se micșorează cu ”425,0” mii lei”.</w:t>
      </w:r>
    </w:p>
    <w:p w:rsidR="00552E79" w:rsidRPr="00F3653E" w:rsidRDefault="00552E79" w:rsidP="00B545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653E">
        <w:rPr>
          <w:rFonts w:ascii="Times New Roman" w:hAnsi="Times New Roman" w:cs="Times New Roman"/>
          <w:sz w:val="28"/>
          <w:szCs w:val="28"/>
          <w:lang w:val="ro-RO"/>
        </w:rPr>
        <w:t>Pozițiile ”</w:t>
      </w:r>
      <w:r w:rsidRPr="00F365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Cultură, sport, tineret, culte și odihnă”, ”Resurse, total”, 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>subpoziția</w:t>
      </w:r>
      <w:r w:rsidRPr="00F365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”Rsurse generale”, 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>poziția</w:t>
      </w:r>
      <w:r w:rsidRPr="00F365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”Cheltuieli, total”, 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>subpoziția ”</w:t>
      </w:r>
      <w:r w:rsidRPr="00F3653E">
        <w:rPr>
          <w:rFonts w:ascii="Times New Roman" w:hAnsi="Times New Roman" w:cs="Times New Roman"/>
          <w:b/>
          <w:sz w:val="28"/>
          <w:szCs w:val="28"/>
          <w:lang w:val="ro-RO"/>
        </w:rPr>
        <w:t>Dezvoltarea culturii</w:t>
      </w:r>
      <w:r w:rsidRPr="00F3653E">
        <w:rPr>
          <w:rFonts w:ascii="Times New Roman" w:hAnsi="Times New Roman" w:cs="Times New Roman"/>
          <w:sz w:val="28"/>
          <w:szCs w:val="28"/>
          <w:lang w:val="ro-RO"/>
        </w:rPr>
        <w:t>” în colonița ”suma, mii lei”, sumele se majorează cu ”25 mii lei”.</w:t>
      </w:r>
    </w:p>
    <w:p w:rsidR="00552E79" w:rsidRPr="00F3653E" w:rsidRDefault="00552E79" w:rsidP="00552E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2.  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7562B9" w:rsidRPr="00F3653E" w:rsidRDefault="00552E79" w:rsidP="00552E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653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F3653E" w:rsidRDefault="00EE48AD" w:rsidP="00446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48AD" w:rsidRPr="00F3653E" w:rsidRDefault="00F3653E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48AD" w:rsidRPr="00F3653E" w:rsidRDefault="00BA48D4" w:rsidP="00BA48D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-  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F3653E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E48AD" w:rsidRPr="00F3653E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2E79" w:rsidRPr="00F3653E" w:rsidRDefault="00552E79" w:rsidP="00552E79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552E79" w:rsidRPr="00F3653E" w:rsidRDefault="00552E79" w:rsidP="00552E79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552E79" w:rsidRPr="00F3653E" w:rsidRDefault="00552E79" w:rsidP="00552E79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552E79" w:rsidRPr="00F3653E" w:rsidRDefault="00552E79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2E79" w:rsidRPr="00F3653E" w:rsidRDefault="00552E79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2E79" w:rsidRPr="00F3653E" w:rsidRDefault="00552E79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552E79" w:rsidRPr="00F3653E" w:rsidRDefault="00552E79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2E79" w:rsidRPr="00F3653E" w:rsidRDefault="00552E79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552E79" w:rsidRPr="00F3653E" w:rsidRDefault="00552E79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2E79" w:rsidRPr="00F3653E" w:rsidRDefault="00552E79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Specialist                                                             Natalia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BA48D4" w:rsidRPr="00F3653E" w:rsidRDefault="00BA48D4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8D4" w:rsidRPr="00F3653E" w:rsidRDefault="00BA48D4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8D4" w:rsidRPr="00446717" w:rsidRDefault="00BA48D4" w:rsidP="00552E7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Avizat______</w:t>
      </w:r>
    </w:p>
    <w:p w:rsidR="00552E79" w:rsidRPr="00446717" w:rsidRDefault="00552E79" w:rsidP="00552E7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552E79" w:rsidRPr="00446717" w:rsidRDefault="00552E79" w:rsidP="00552E79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96FB1" w:rsidRPr="00EE48AD" w:rsidRDefault="00E96FB1" w:rsidP="00552E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D17CFA"/>
    <w:multiLevelType w:val="hybridMultilevel"/>
    <w:tmpl w:val="FB4E7800"/>
    <w:lvl w:ilvl="0" w:tplc="FD4CEC62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2786"/>
    <w:rsid w:val="00034922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12A31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33F26"/>
    <w:rsid w:val="00440869"/>
    <w:rsid w:val="00441BD5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A4C27"/>
    <w:rsid w:val="004D35AA"/>
    <w:rsid w:val="004E03CE"/>
    <w:rsid w:val="004F36EC"/>
    <w:rsid w:val="005019DC"/>
    <w:rsid w:val="005338B1"/>
    <w:rsid w:val="00542D39"/>
    <w:rsid w:val="00550E4A"/>
    <w:rsid w:val="00552E79"/>
    <w:rsid w:val="005563B6"/>
    <w:rsid w:val="005639F1"/>
    <w:rsid w:val="00570E97"/>
    <w:rsid w:val="005A2A2C"/>
    <w:rsid w:val="005B1439"/>
    <w:rsid w:val="005B1ED6"/>
    <w:rsid w:val="005D7779"/>
    <w:rsid w:val="0062532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7B4C"/>
    <w:rsid w:val="0075627A"/>
    <w:rsid w:val="007562B9"/>
    <w:rsid w:val="007653A7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257B"/>
    <w:rsid w:val="008152AF"/>
    <w:rsid w:val="008359AE"/>
    <w:rsid w:val="008360E0"/>
    <w:rsid w:val="00840A90"/>
    <w:rsid w:val="008470A2"/>
    <w:rsid w:val="00852E18"/>
    <w:rsid w:val="0088613A"/>
    <w:rsid w:val="008960C8"/>
    <w:rsid w:val="0089690F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80397"/>
    <w:rsid w:val="009852C1"/>
    <w:rsid w:val="00996F34"/>
    <w:rsid w:val="009C2E42"/>
    <w:rsid w:val="00A17D02"/>
    <w:rsid w:val="00A22CCF"/>
    <w:rsid w:val="00A742D5"/>
    <w:rsid w:val="00A82B87"/>
    <w:rsid w:val="00AB30E3"/>
    <w:rsid w:val="00AC5B90"/>
    <w:rsid w:val="00B14CAC"/>
    <w:rsid w:val="00B25F24"/>
    <w:rsid w:val="00B266CB"/>
    <w:rsid w:val="00B27521"/>
    <w:rsid w:val="00B54594"/>
    <w:rsid w:val="00B851C2"/>
    <w:rsid w:val="00B867EC"/>
    <w:rsid w:val="00B97619"/>
    <w:rsid w:val="00BA2E2E"/>
    <w:rsid w:val="00BA48D4"/>
    <w:rsid w:val="00BD03EE"/>
    <w:rsid w:val="00BF1288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255FB"/>
    <w:rsid w:val="00D310CE"/>
    <w:rsid w:val="00D36A67"/>
    <w:rsid w:val="00D63DF5"/>
    <w:rsid w:val="00D73F4A"/>
    <w:rsid w:val="00D80D84"/>
    <w:rsid w:val="00D950DE"/>
    <w:rsid w:val="00DA31BC"/>
    <w:rsid w:val="00DA404B"/>
    <w:rsid w:val="00DB37FD"/>
    <w:rsid w:val="00DC7D16"/>
    <w:rsid w:val="00DD2B5F"/>
    <w:rsid w:val="00DE44BC"/>
    <w:rsid w:val="00E04E4A"/>
    <w:rsid w:val="00E2181E"/>
    <w:rsid w:val="00E271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3653E"/>
    <w:rsid w:val="00F50E3F"/>
    <w:rsid w:val="00F54FA4"/>
    <w:rsid w:val="00F86502"/>
    <w:rsid w:val="00F90221"/>
    <w:rsid w:val="00F92CB6"/>
    <w:rsid w:val="00FC01D4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12</cp:revision>
  <cp:lastPrinted>2023-08-15T07:35:00Z</cp:lastPrinted>
  <dcterms:created xsi:type="dcterms:W3CDTF">2023-08-15T06:56:00Z</dcterms:created>
  <dcterms:modified xsi:type="dcterms:W3CDTF">2023-08-15T07:35:00Z</dcterms:modified>
</cp:coreProperties>
</file>