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B4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361EB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B4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4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B4D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E4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1E345E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361EB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345E" w:rsidRPr="00361EB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1E345E" w:rsidRPr="00361EB0" w:rsidRDefault="00600B4D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d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ecizia Consiliului </w:t>
      </w:r>
      <w:r w:rsidR="00C56E0B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Căușeni ”Cu privire la </w:t>
      </w:r>
      <w:r w:rsidR="00C56E0B">
        <w:rPr>
          <w:rFonts w:ascii="Times New Roman" w:hAnsi="Times New Roman" w:cs="Times New Roman"/>
          <w:sz w:val="28"/>
          <w:szCs w:val="28"/>
          <w:lang w:val="ro-RO"/>
        </w:rPr>
        <w:t xml:space="preserve">participarea UAT Căușeni la concursul de selectare a proiectelor de dezvoltare locală pentru oferirea unor ”granturi mici” </w:t>
      </w:r>
      <w:r w:rsidR="00890C36">
        <w:rPr>
          <w:rFonts w:ascii="Times New Roman" w:hAnsi="Times New Roman" w:cs="Times New Roman"/>
          <w:sz w:val="28"/>
          <w:szCs w:val="28"/>
          <w:lang w:val="ro-RO"/>
        </w:rPr>
        <w:t xml:space="preserve"> în cadrul Programului Național ”Servicii de îngrijire copii cu vârsta pțnă la 3 ani”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nr. </w:t>
      </w:r>
      <w:r w:rsidR="00890C36">
        <w:rPr>
          <w:rFonts w:ascii="Times New Roman" w:hAnsi="Times New Roman" w:cs="Times New Roman"/>
          <w:sz w:val="28"/>
          <w:szCs w:val="28"/>
          <w:lang w:val="ro-RO"/>
        </w:rPr>
        <w:t>7/28 din 26 iun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ie 2023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E345E" w:rsidRPr="00361EB0" w:rsidRDefault="00600B4D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>vizele comisiilor consultative de specialitate a Consiliului orășenesc Căușeni;</w:t>
      </w:r>
    </w:p>
    <w:p w:rsidR="00EC0269" w:rsidRPr="00361EB0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0B4D" w:rsidRPr="00361EB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vizul secretarului Consiliului orășenesc Căușeni;</w:t>
      </w:r>
    </w:p>
    <w:p w:rsidR="00D310CE" w:rsidRPr="00361EB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267E7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361EB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361EB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0111B0">
        <w:rPr>
          <w:rFonts w:ascii="Times New Roman" w:hAnsi="Times New Roman" w:cs="Times New Roman"/>
          <w:sz w:val="28"/>
          <w:szCs w:val="28"/>
          <w:lang w:val="ro-RO"/>
        </w:rPr>
        <w:t>4 (1), lit. h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361EB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361EB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361EB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361EB0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164D" w:rsidRPr="00361EB0" w:rsidRDefault="00806205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Orășenesc Căușeni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2893" w:rsidRPr="00361EB0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580A46" w:rsidRPr="00361EB0" w:rsidRDefault="00C7164D" w:rsidP="00580A4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În pct. 1 suma aprobată a bugetului o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>rașului Căușeni pentru anul 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se modifică la venituri și cheltuieli și se majorează cu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450</w:t>
      </w:r>
      <w:r w:rsidR="00DF609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F609F" w:rsidRPr="00DF609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036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, inclusiv:</w:t>
      </w:r>
    </w:p>
    <w:p w:rsidR="00F2399B" w:rsidRPr="00361EB0" w:rsidRDefault="00F2399B" w:rsidP="00F239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Anexa nr. 1 ”Indicatorii generali și sursele de finanțare a bugetului orășenesc Căușeni pentru anul 2023”, se modifică după cum urmează:</w:t>
      </w:r>
    </w:p>
    <w:p w:rsidR="00F2399B" w:rsidRPr="00361EB0" w:rsidRDefault="00F2399B" w:rsidP="00F239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>a Capitolele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I. Venituri, total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D57A5" w:rsidRPr="00361EB0">
        <w:rPr>
          <w:rFonts w:ascii="Times New Roman" w:hAnsi="Times New Roman" w:cs="Times New Roman"/>
          <w:b/>
          <w:sz w:val="28"/>
          <w:szCs w:val="28"/>
          <w:lang w:val="ro-RO"/>
        </w:rPr>
        <w:t>II. Cheltuieli, total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în colonița ”suma, mii lei”, sumele se majorează cu </w:t>
      </w:r>
      <w:r w:rsidR="007F4567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450</w:t>
      </w:r>
      <w:r w:rsidR="00DF609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F609F" w:rsidRPr="00DF609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F4567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36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lei.</w:t>
      </w:r>
    </w:p>
    <w:p w:rsidR="00CD57A5" w:rsidRPr="00361EB0" w:rsidRDefault="00CD57A5" w:rsidP="00CD57A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1.3    Anexa nr. 2 ”Sinteza veniturilor bugetului orășenesc Căușeni și transferurile de la bugetul de stat către bugetul orășenesc Căușeni pentru anul 2023” se modifică după cum urmează:</w:t>
      </w:r>
    </w:p>
    <w:p w:rsidR="00E47B4D" w:rsidRPr="002B547E" w:rsidRDefault="00CD57A5" w:rsidP="002B547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La Capitolul </w:t>
      </w:r>
      <w:r w:rsidR="007C4518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C4518" w:rsidRPr="00361EB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”, pozițiile</w:t>
      </w:r>
      <w:r w:rsidR="007C451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Venituri total: inclusiv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și ”</w:t>
      </w:r>
      <w:r w:rsidR="00830978" w:rsidRPr="00361E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Transferuri </w:t>
      </w:r>
      <w:r w:rsidR="00A70790">
        <w:rPr>
          <w:rFonts w:ascii="Times New Roman" w:hAnsi="Times New Roman" w:cs="Times New Roman"/>
          <w:b/>
          <w:sz w:val="28"/>
          <w:szCs w:val="28"/>
          <w:lang w:val="ro-RO"/>
        </w:rPr>
        <w:t>primite între bugetul de stat și bugetele locale de nivelul I, inclusiv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6F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în colonița ”suma, mii lei”, sumele se majorează cu 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450,0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B547E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E47B4D" w:rsidRPr="002B547E">
        <w:rPr>
          <w:rFonts w:ascii="Times New Roman" w:hAnsi="Times New Roman" w:cs="Times New Roman"/>
          <w:sz w:val="28"/>
          <w:szCs w:val="28"/>
          <w:lang w:val="ro-RO"/>
        </w:rPr>
        <w:t>se completează cu întroducerea unei noi</w:t>
      </w:r>
      <w:r w:rsidR="002B547E" w:rsidRPr="002B54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7B4D" w:rsidRPr="002B547E">
        <w:rPr>
          <w:rFonts w:ascii="Times New Roman" w:hAnsi="Times New Roman" w:cs="Times New Roman"/>
          <w:sz w:val="28"/>
          <w:szCs w:val="28"/>
          <w:lang w:val="ro-RO"/>
        </w:rPr>
        <w:t xml:space="preserve">poziții, </w:t>
      </w:r>
      <w:r w:rsidR="008A115A">
        <w:rPr>
          <w:rFonts w:ascii="Times New Roman" w:hAnsi="Times New Roman" w:cs="Times New Roman"/>
          <w:sz w:val="28"/>
          <w:szCs w:val="28"/>
          <w:lang w:val="ro-RO"/>
        </w:rPr>
        <w:t>cu următorul conținut:</w:t>
      </w:r>
    </w:p>
    <w:tbl>
      <w:tblPr>
        <w:tblStyle w:val="a7"/>
        <w:tblW w:w="0" w:type="auto"/>
        <w:tblInd w:w="1260" w:type="dxa"/>
        <w:tblLook w:val="04A0"/>
      </w:tblPr>
      <w:tblGrid>
        <w:gridCol w:w="5879"/>
        <w:gridCol w:w="1056"/>
        <w:gridCol w:w="1376"/>
      </w:tblGrid>
      <w:tr w:rsidR="00E47B4D" w:rsidTr="00E47B4D">
        <w:tc>
          <w:tcPr>
            <w:tcW w:w="5936" w:type="dxa"/>
          </w:tcPr>
          <w:p w:rsidR="00E47B4D" w:rsidRPr="00E47B4D" w:rsidRDefault="00E47B4D" w:rsidP="00E4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Transferuri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primite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specială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instituțiile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instituțiile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bugetelor</w:t>
            </w:r>
            <w:proofErr w:type="spellEnd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 w:rsidRPr="00E47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niv.I</w:t>
            </w:r>
            <w:proofErr w:type="spellEnd"/>
          </w:p>
        </w:tc>
        <w:tc>
          <w:tcPr>
            <w:tcW w:w="992" w:type="dxa"/>
          </w:tcPr>
          <w:p w:rsidR="00E47B4D" w:rsidRPr="002B547E" w:rsidRDefault="00E47B4D" w:rsidP="00E4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547E">
              <w:rPr>
                <w:rFonts w:ascii="Times New Roman" w:hAnsi="Times New Roman" w:cs="Times New Roman"/>
                <w:sz w:val="28"/>
                <w:szCs w:val="28"/>
              </w:rPr>
              <w:t>191420</w:t>
            </w:r>
          </w:p>
        </w:tc>
        <w:tc>
          <w:tcPr>
            <w:tcW w:w="1383" w:type="dxa"/>
          </w:tcPr>
          <w:p w:rsidR="00E47B4D" w:rsidRPr="00E47B4D" w:rsidRDefault="00036DC3" w:rsidP="00E4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450,0</w:t>
            </w:r>
          </w:p>
        </w:tc>
      </w:tr>
    </w:tbl>
    <w:p w:rsidR="00E47B4D" w:rsidRPr="00361EB0" w:rsidRDefault="00E47B4D" w:rsidP="00E47B4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4518" w:rsidRPr="00361EB0" w:rsidRDefault="00957684" w:rsidP="0042620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1.4 </w:t>
      </w:r>
      <w:r w:rsidR="00BF4E1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2023” se modifică după cum urmează:</w:t>
      </w:r>
    </w:p>
    <w:p w:rsidR="00957684" w:rsidRPr="00361EB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la Capitolul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CA31A4" w:rsidRDefault="0032051D" w:rsidP="00CA31A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AA5A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pozițiile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957684" w:rsidRPr="00361EB0">
        <w:rPr>
          <w:rFonts w:ascii="Times New Roman" w:hAnsi="Times New Roman" w:cs="Times New Roman"/>
          <w:b/>
          <w:sz w:val="28"/>
          <w:szCs w:val="28"/>
          <w:lang w:val="ro-RO"/>
        </w:rPr>
        <w:t>Cheltuieli recurente, în total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36437E" w:rsidRPr="00CA31A4">
        <w:rPr>
          <w:rFonts w:ascii="Times New Roman" w:hAnsi="Times New Roman" w:cs="Times New Roman"/>
          <w:b/>
          <w:sz w:val="28"/>
          <w:szCs w:val="28"/>
          <w:lang w:val="ro-RO"/>
        </w:rPr>
        <w:t>Învățământ”, ”Resurse, total”, subpozițiile ”Resurse, total”, ”Inclusiv din contul transferurilor de la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37E" w:rsidRPr="00CA31A4">
        <w:rPr>
          <w:rFonts w:ascii="Times New Roman" w:hAnsi="Times New Roman" w:cs="Times New Roman"/>
          <w:b/>
          <w:sz w:val="28"/>
          <w:szCs w:val="28"/>
          <w:lang w:val="ro-RO"/>
        </w:rPr>
        <w:t>BS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>poziția ”</w:t>
      </w:r>
      <w:r w:rsidR="0036437E" w:rsidRPr="0036437E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>” subpoziția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37E">
        <w:rPr>
          <w:rFonts w:ascii="Times New Roman" w:hAnsi="Times New Roman" w:cs="Times New Roman"/>
          <w:b/>
          <w:sz w:val="28"/>
          <w:szCs w:val="28"/>
          <w:lang w:val="ro-RO"/>
        </w:rPr>
        <w:t>”Inclusiv: Transferuri de la Bugetul de stat”</w:t>
      </w:r>
      <w:r w:rsidR="00361EB0" w:rsidRPr="00361E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total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>în colonița ”suma, mii lei”, sumele se majorează cu ”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450,0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036D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36437E">
        <w:rPr>
          <w:rFonts w:ascii="Times New Roman" w:hAnsi="Times New Roman" w:cs="Times New Roman"/>
          <w:sz w:val="28"/>
          <w:szCs w:val="28"/>
          <w:lang w:val="ro-RO"/>
        </w:rPr>
        <w:t>, iar, la subpoziția ”</w:t>
      </w:r>
      <w:r w:rsidR="00CA31A4" w:rsidRPr="00CA31A4">
        <w:rPr>
          <w:rFonts w:ascii="Times New Roman" w:hAnsi="Times New Roman" w:cs="Times New Roman"/>
          <w:b/>
          <w:sz w:val="28"/>
          <w:szCs w:val="28"/>
          <w:lang w:val="ro-RO"/>
        </w:rPr>
        <w:t>Educație timpurie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6437E" w:rsidRPr="003643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37E" w:rsidRPr="00361EB0">
        <w:rPr>
          <w:rFonts w:ascii="Times New Roman" w:hAnsi="Times New Roman" w:cs="Times New Roman"/>
          <w:sz w:val="28"/>
          <w:szCs w:val="28"/>
          <w:lang w:val="ro-RO"/>
        </w:rPr>
        <w:t>sumele se majorează cu ”</w:t>
      </w:r>
      <w:r w:rsidR="00036DC3">
        <w:rPr>
          <w:rFonts w:ascii="Times New Roman" w:hAnsi="Times New Roman" w:cs="Times New Roman"/>
          <w:b/>
          <w:sz w:val="28"/>
          <w:szCs w:val="28"/>
          <w:lang w:val="ro-RO"/>
        </w:rPr>
        <w:t>51080</w:t>
      </w:r>
      <w:r w:rsidR="0006783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6437E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 xml:space="preserve"> lei.</w:t>
      </w:r>
    </w:p>
    <w:p w:rsidR="00CA31A4" w:rsidRPr="00AA5A6C" w:rsidRDefault="00AA5A6C" w:rsidP="00CA31A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  La pozițiile ”</w:t>
      </w:r>
      <w:r w:rsidRPr="00AA5A6C">
        <w:rPr>
          <w:rFonts w:ascii="Times New Roman" w:hAnsi="Times New Roman" w:cs="Times New Roman"/>
          <w:b/>
          <w:sz w:val="28"/>
          <w:szCs w:val="28"/>
          <w:lang w:val="ro-RO"/>
        </w:rPr>
        <w:t>Servicii în domeniul economiei</w:t>
      </w:r>
      <w:r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AA5A6C">
        <w:rPr>
          <w:rFonts w:ascii="Times New Roman" w:hAnsi="Times New Roman" w:cs="Times New Roman"/>
          <w:b/>
          <w:sz w:val="28"/>
          <w:szCs w:val="28"/>
          <w:lang w:val="ro-RO"/>
        </w:rPr>
        <w:t>Resurse, total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”, subpoziția ”- </w:t>
      </w:r>
      <w:r w:rsidRPr="0006783A">
        <w:rPr>
          <w:rFonts w:ascii="Times New Roman" w:hAnsi="Times New Roman" w:cs="Times New Roman"/>
          <w:b/>
          <w:sz w:val="28"/>
          <w:szCs w:val="28"/>
          <w:lang w:val="ro-RO"/>
        </w:rPr>
        <w:t>Surse proprii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”, și poziția 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A31A4" w:rsidRPr="00CA31A4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>”. subpoziția ”</w:t>
      </w:r>
      <w:r w:rsidR="00CA31A4" w:rsidRPr="00CA31A4">
        <w:rPr>
          <w:rFonts w:ascii="Times New Roman" w:hAnsi="Times New Roman" w:cs="Times New Roman"/>
          <w:b/>
          <w:sz w:val="28"/>
          <w:szCs w:val="28"/>
          <w:lang w:val="ro-RO"/>
        </w:rPr>
        <w:t>Dezvoltarea drumurilor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>”, sumele se micșorează cu ”</w:t>
      </w:r>
      <w:r w:rsidR="00CA31A4" w:rsidRPr="00CA31A4">
        <w:rPr>
          <w:rFonts w:ascii="Times New Roman" w:hAnsi="Times New Roman" w:cs="Times New Roman"/>
          <w:b/>
          <w:sz w:val="28"/>
          <w:szCs w:val="28"/>
          <w:lang w:val="ro-RO"/>
        </w:rPr>
        <w:t>60 80</w:t>
      </w:r>
      <w:r w:rsidR="0006783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A31A4">
        <w:rPr>
          <w:rFonts w:ascii="Times New Roman" w:hAnsi="Times New Roman" w:cs="Times New Roman"/>
          <w:sz w:val="28"/>
          <w:szCs w:val="28"/>
          <w:lang w:val="ro-RO"/>
        </w:rPr>
        <w:t>” lei.</w:t>
      </w:r>
    </w:p>
    <w:p w:rsidR="0092217F" w:rsidRPr="00361EB0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164 (1), 165 (1), 166 din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361EB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361EB0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361EB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A31A4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CA31A4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A57B3" w:rsidRPr="00361EB0" w:rsidRDefault="004A57B3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D90" w:rsidRDefault="00361EB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07D90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="00607D90">
        <w:rPr>
          <w:rFonts w:ascii="Times New Roman" w:hAnsi="Times New Roman" w:cs="Times New Roman"/>
          <w:sz w:val="24"/>
          <w:szCs w:val="24"/>
          <w:lang w:val="en-US"/>
        </w:rPr>
        <w:t>: __________</w:t>
      </w:r>
      <w:r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07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61EB0" w:rsidRPr="00361EB0" w:rsidRDefault="00607D9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E96FB1" w:rsidRPr="0092217F" w:rsidRDefault="00607D90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E96FB1" w:rsidRPr="0092217F" w:rsidSect="004A57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11B0"/>
    <w:rsid w:val="00012786"/>
    <w:rsid w:val="00034922"/>
    <w:rsid w:val="00036DC3"/>
    <w:rsid w:val="00056A04"/>
    <w:rsid w:val="00063C64"/>
    <w:rsid w:val="0006783A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345E"/>
    <w:rsid w:val="001F4B6B"/>
    <w:rsid w:val="0021011D"/>
    <w:rsid w:val="0023470B"/>
    <w:rsid w:val="0024726D"/>
    <w:rsid w:val="00250871"/>
    <w:rsid w:val="0025159D"/>
    <w:rsid w:val="00261828"/>
    <w:rsid w:val="002670A0"/>
    <w:rsid w:val="00267E79"/>
    <w:rsid w:val="00297715"/>
    <w:rsid w:val="002A6F84"/>
    <w:rsid w:val="002B547E"/>
    <w:rsid w:val="002C64DE"/>
    <w:rsid w:val="002D3491"/>
    <w:rsid w:val="002E64F1"/>
    <w:rsid w:val="002F22A6"/>
    <w:rsid w:val="003148D2"/>
    <w:rsid w:val="0032051D"/>
    <w:rsid w:val="00321AB8"/>
    <w:rsid w:val="00361EB0"/>
    <w:rsid w:val="0036437E"/>
    <w:rsid w:val="00364F33"/>
    <w:rsid w:val="00370A2B"/>
    <w:rsid w:val="003851B2"/>
    <w:rsid w:val="00391E87"/>
    <w:rsid w:val="00397D09"/>
    <w:rsid w:val="003A45D8"/>
    <w:rsid w:val="003B42AA"/>
    <w:rsid w:val="003B77DF"/>
    <w:rsid w:val="00403A33"/>
    <w:rsid w:val="00426201"/>
    <w:rsid w:val="00436464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A57B3"/>
    <w:rsid w:val="004D35AA"/>
    <w:rsid w:val="004E03CE"/>
    <w:rsid w:val="004F2C06"/>
    <w:rsid w:val="004F36EC"/>
    <w:rsid w:val="005019DC"/>
    <w:rsid w:val="00523A48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24C9"/>
    <w:rsid w:val="005D7779"/>
    <w:rsid w:val="005E6636"/>
    <w:rsid w:val="00600B4D"/>
    <w:rsid w:val="00607D90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1E19"/>
    <w:rsid w:val="00725CA1"/>
    <w:rsid w:val="00737B4C"/>
    <w:rsid w:val="0075627A"/>
    <w:rsid w:val="007653A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0978"/>
    <w:rsid w:val="008360E0"/>
    <w:rsid w:val="00840A90"/>
    <w:rsid w:val="008470A2"/>
    <w:rsid w:val="00852E18"/>
    <w:rsid w:val="00890C36"/>
    <w:rsid w:val="008960C8"/>
    <w:rsid w:val="008A115A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0790"/>
    <w:rsid w:val="00A742D5"/>
    <w:rsid w:val="00A82B87"/>
    <w:rsid w:val="00AA5A6C"/>
    <w:rsid w:val="00AB30E3"/>
    <w:rsid w:val="00B14CAC"/>
    <w:rsid w:val="00B266CB"/>
    <w:rsid w:val="00B27521"/>
    <w:rsid w:val="00B53968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12773"/>
    <w:rsid w:val="00C24D49"/>
    <w:rsid w:val="00C56E0B"/>
    <w:rsid w:val="00C615BE"/>
    <w:rsid w:val="00C643B7"/>
    <w:rsid w:val="00C66A33"/>
    <w:rsid w:val="00C7164D"/>
    <w:rsid w:val="00C80177"/>
    <w:rsid w:val="00CA31A4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7D16"/>
    <w:rsid w:val="00DD2B5F"/>
    <w:rsid w:val="00DF609F"/>
    <w:rsid w:val="00E04E4A"/>
    <w:rsid w:val="00E2181E"/>
    <w:rsid w:val="00E27194"/>
    <w:rsid w:val="00E36AD9"/>
    <w:rsid w:val="00E47B4D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30FCA"/>
    <w:rsid w:val="00F34A00"/>
    <w:rsid w:val="00F50E3F"/>
    <w:rsid w:val="00F54FA4"/>
    <w:rsid w:val="00F86502"/>
    <w:rsid w:val="00F90221"/>
    <w:rsid w:val="00F92CB6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C7A-5437-4811-9D64-9678083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2023-08-11T07:21:00Z</cp:lastPrinted>
  <dcterms:created xsi:type="dcterms:W3CDTF">2023-08-11T07:22:00Z</dcterms:created>
  <dcterms:modified xsi:type="dcterms:W3CDTF">2023-08-11T07:22:00Z</dcterms:modified>
</cp:coreProperties>
</file>